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Налоговая реформа 2025 года: ключевые изменения в НК РФ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Официальное опубликование получил </w:t>
      </w:r>
      <w:hyperlink r:id="rId5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Федеральный закон от 12 июля 2024 года № 176-ФЗ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утверждающий внесение изменений в Налоговый и Бюджетный кодексы РФ по ранее предложенным законопроектам Минфина.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Изменения носят масштабный характер и в совокупности зовутся «налоговой реформой 2025 года»: новые условия для УСН, пятиступенчатая шкала НДФЛ, повышение ставки налога на прибыль и т.д. Расскажем подробно о ключевых изменениях в налогах с 2025 года.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Налог на доходы </w:t>
      </w:r>
      <w:proofErr w:type="spellStart"/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физлиц</w:t>
      </w:r>
      <w:proofErr w:type="spellEnd"/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На данный момент в РФ существует двухступенчатая шкала ставок НДФЛ и единственный лимит, разделяющий эти две ступени: по ставке 13% исчисляется налог для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физлиц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 годовым доходом менее 5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рублей, а по ставке 15% — для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физлиц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, чей доход превышает этот порог. Минфин разработал и предложил ввести пятиступенчатую шкалу взамен двухступенчатой, сохранив при этом основной принцип расчёта: более высокая ставка применяется не ко всем доходам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физлица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а только к той части, что превышает установленный лимит. Таким образом, </w:t>
      </w:r>
      <w:hyperlink r:id="rId6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новые ставки налога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на 2025 год выглядят так:</w:t>
      </w:r>
    </w:p>
    <w:p w:rsidR="0065638F" w:rsidRPr="0065638F" w:rsidRDefault="0065638F" w:rsidP="0065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13% — доходы до 2,4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15% — доходы от 2,4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до 5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18% — доходы от 5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до 20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20% — доходы от 20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до 50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22% — доходы свыше 50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</w:t>
      </w:r>
    </w:p>
    <w:p w:rsidR="0065638F" w:rsidRPr="0065638F" w:rsidRDefault="0065638F" w:rsidP="0065638F">
      <w:pPr>
        <w:shd w:val="clear" w:color="auto" w:fill="FCF2F2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Новая схема исчисления НДФЛ не затронет доходы участников СВО. Для них правила останутся прежними: 13% и 15% (до и свыше 5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 соответственно).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Ещё одно важное изменение по части НДФЛ — это налоговые вычеты. С 2025 года у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физлиц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появится возможность оформления вычета за успешную сдачу нормативов ГТО. Предельная сумма, возможная к возврату — 2 340 рублей, это 13% от части дохода, свободной от НДФЛ (18 000 рублей). Однако для получения такого вычета нужно выполнить одно обязательное условие — пройти диспансеризацию в том же календарном году, в котором были сданы нормативы.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Изменения также затронули и детские вычеты. Порог доходов, по достижении которого можно претендовать на их получение, вырастет до 450 000 рублей. Вычет за первого ребёнка останется равен 1 400 рублям, но за второго — возрастёт до 2 800 рублей, а за третьего — до 6 000 рублей.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Новая ставка налога на прибыль с 2025 года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Сейчас </w:t>
      </w:r>
      <w:hyperlink r:id="rId7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ставка налога на прибыль организаций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составляет 20%, из которых только 3% перечисляются в федеральный бюджет, а остальные 17% — в региональный. Поправки Закона № 176-ФЗ предусматривают повышение налога, перечисляемого в федеральный бюджет до 8%, сохраняя при этом те же значения для регионального бюджета. Следовательно, организации в совокупности будут платить 25% налога со своей прибыли.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Минфин разработал несколько вспомогательных решений с целью смягчить переход на повышенную ставку, например:</w:t>
      </w:r>
    </w:p>
    <w:p w:rsidR="0065638F" w:rsidRPr="0065638F" w:rsidRDefault="0065638F" w:rsidP="0065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продление действия системы инвестиционного налогового вычета в регионах;</w:t>
      </w:r>
    </w:p>
    <w:p w:rsidR="0065638F" w:rsidRPr="0065638F" w:rsidRDefault="0065638F" w:rsidP="0065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повышение коэффициента по расходам на научно-исследовательские и опытно-конструкторские работы с 1.5 до 2, что позволит предприятиям из высокотехнологичного сектора уменьшить размер налогооблагаемой прибыли;</w:t>
      </w:r>
    </w:p>
    <w:p w:rsidR="0065638F" w:rsidRPr="0065638F" w:rsidRDefault="0065638F" w:rsidP="0065638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внедрение федерального налогового вычета на такие расходы предприятий, которые составляют первоначальную стоимость основных средств и нематериальных активов, а также величину изменения их первоначальной стоимости в случае реконструкции, модернизации, достройки и т.д.</w:t>
      </w:r>
    </w:p>
    <w:p w:rsidR="0065638F" w:rsidRPr="0065638F" w:rsidRDefault="0065638F" w:rsidP="0065638F">
      <w:pPr>
        <w:shd w:val="clear" w:color="auto" w:fill="FCF2F2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Компании, работающие в сфере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ИТ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с 2025 года станут плательщиками налога на прибыль. Для них вплоть до 2030 года будет действовать пониженная ставка 5%, а налог будет перечисляться только в федеральный бюджет.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Имущественные налоги с 2025 года: изменения ставок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Новые условия будут действовать для плательщиков земельного налога: льготная ставка 0,3% больше не будет доступна для тех участков, чья кадастровая стоимость превышает 300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рублей, для них будет действовать предельная ставка 1,5%. Но здесь есть ряд исключений. Так, новые условия не коснутся:</w:t>
      </w:r>
    </w:p>
    <w:p w:rsidR="0065638F" w:rsidRPr="0065638F" w:rsidRDefault="0065638F" w:rsidP="006563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участков, используемых в сельскохозяйственных целях;</w:t>
      </w:r>
    </w:p>
    <w:p w:rsidR="0065638F" w:rsidRPr="0065638F" w:rsidRDefault="0065638F" w:rsidP="0065638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участков, используемых для обеспечения обороны и безопасности или для таможенных нужд.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Налог на имущество организаций также претерпел изменения. Максимальная ставка, которую регионы вправе устанавливать для недвижимости с кадастровой стоимостью свыше 300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рублей, возрастёт с 2% до 2,5%.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Изменения по госпошлинам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Федеральный закон № 176-ФЗ увеличивает размер госпошлины за регистрацию прав или сделок на недвижимость с кадастровой стоимостью более 22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 Размер платежа будет равен не менее 0,1% от кадастровой стоимости недвижимости в момент обращения на регистрацию сделки/прав, но не более 1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Изменения по страховым взносам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Субъектам МСП, чей основной вид деятельности входит «Обрабатывающие производства» по ОКВЭД, будет разрешено применение пониженного тарифа страховых взносов — 7,6% с сумм, превышающих минимальный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размер оплаты труда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 Однако, помимо вида деятельности, указанного в ЕГРЮЛ или ЕГРИП, бизнес должен соответствовать нескольким дополнительным требованиям:</w:t>
      </w:r>
    </w:p>
    <w:p w:rsidR="0065638F" w:rsidRPr="0065638F" w:rsidRDefault="0065638F" w:rsidP="0065638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 работать с подакцизной продукцией;</w:t>
      </w:r>
    </w:p>
    <w:p w:rsidR="0065638F" w:rsidRPr="0065638F" w:rsidRDefault="0065638F" w:rsidP="0065638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получать минимум 70% годового дохода от основного вида деятельности;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Доходы для льготы будут рассчитываться так:</w:t>
      </w:r>
    </w:p>
    <w:p w:rsidR="0065638F" w:rsidRPr="0065638F" w:rsidRDefault="0065638F" w:rsidP="0065638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для организаций на ОСНО — по правилам исчисления налога на прибыль;</w:t>
      </w:r>
    </w:p>
    <w:p w:rsidR="0065638F" w:rsidRPr="0065638F" w:rsidRDefault="0065638F" w:rsidP="0065638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для предпринимателей ОСНО — по правилам исчисления НДФЛ;</w:t>
      </w:r>
    </w:p>
    <w:p w:rsidR="0065638F" w:rsidRPr="0065638F" w:rsidRDefault="0065638F" w:rsidP="0065638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компаниям и ИП на УСН — по правилам исчисления налога на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упрощёнке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Новые налоги с 2025 года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Курортный сбор, введённый в рамках эксперимента, с 2025 года будет преобразован в новый туристический налог. Муниципалитеты будут вправе самостоятельной определять его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размер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 даже необходимость применения. Предельную ставку предлагается поднимать постепенно по одному проценту в год, начиная с 1% в 2025 году и заканчивая 5% в 2029.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8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Туристический налог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будет полностью региональным.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Упрощённая система налогообложения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Существенные изменения затронули «упрощенцев». Для них с 2025 года буду действовать совершенно </w:t>
      </w:r>
      <w:hyperlink r:id="rId9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новые условия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. Введённый ранее переходный период, позволяющий бизнесу оставаться на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упрощёнке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за счёт повышения налоговых ставок, будет отменён. Такие ставки, как 8% для объекта «Доходы» и 20% для объекта «Доходы минус расходы» будут полностью упразднены. Останутся только базовые ставки 6% и 15%, которые регионы по желанию смогут занижать для отдельных категорий плательщиков.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Лимиты, при превышении которых теряется право на УСН, будут сильно повышены:</w:t>
      </w:r>
    </w:p>
    <w:p w:rsidR="0065638F" w:rsidRPr="0065638F" w:rsidRDefault="0065638F" w:rsidP="0065638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годовой доход — с 200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до 450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остаточная стоимость основных средств – со 150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до 200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Таким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образом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Минфин планирует дать дополнительные возможности для развития малого бизнеса за счёт сближения упрощённой системы налогообложения с общей.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Кроме того, «упрощенцы» с 2025 года станут плательщиками налога на добавленную стоимость. Данная мера затронет не всех, а только тех предпринимателей, чьи доходы за прошедший или текущий год превысили 60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 При этом объект налогообложения в данном случае роли не играет.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Необходимость уплаты НДС автоматически влечёт за собой новые обязанности: выставление счетов-фактур, ведение книги учёта покупок и продаж, сдача декларации по НДС.</w:t>
      </w:r>
    </w:p>
    <w:p w:rsidR="0065638F" w:rsidRPr="0065638F" w:rsidRDefault="0065638F" w:rsidP="0065638F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Сдавать декларации по УСН, НДС, НДФЛ или любую другую отчётность удобнее всего в электронном виде. Специалисты «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Астрал-Софт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» разработали удобные решения для сдачи электронной отчётности для клиентов с самыми разными потребностями. Для организаций, которые пользуются программами «1С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:П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редприятие» отличным выбором станет интегрированный модуль </w:t>
      </w:r>
      <w:hyperlink r:id="rId10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«1С-Отчётность»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, позволяющий отправлять отчётность во все контролирующие органы без изменений привычного интерфейса. А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онлайн-сервис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hyperlink r:id="rId11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«</w:t>
        </w:r>
        <w:proofErr w:type="spellStart"/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Астрал</w:t>
        </w:r>
        <w:proofErr w:type="spellEnd"/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 xml:space="preserve"> Отчёт 5.0»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подойдёт тем, кто хочет работать с документами на разных устройствах и не устанавливать программу на каждое из них. Все сервисы «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Астрал-Софт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» используют только актуальные формы отчётности.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При исчислении НДС предприятиям на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упрощёнке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будет предоставлен выбор: применять стандартные ставки (20%, 10% или 0%, в зависимости от категории товаров) с возможностью оформления вычетов по рабочим расходам (аренда, закупка сырья), либо отдать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предпочтение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специальным заниженным </w:t>
      </w: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lastRenderedPageBreak/>
        <w:t>ставкам НДС, лишившись при этом права на вычеты. Во втором случае размер ставки будет зависеть от годового дохода бизнеса:</w:t>
      </w:r>
    </w:p>
    <w:p w:rsidR="0065638F" w:rsidRPr="0065638F" w:rsidRDefault="0065638F" w:rsidP="0065638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5% — доход от 60 до 250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рублей;</w:t>
      </w:r>
    </w:p>
    <w:p w:rsidR="0065638F" w:rsidRPr="0065638F" w:rsidRDefault="0065638F" w:rsidP="0065638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7% — доход от 250 до 450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Перейти со стандартной ставки НДС на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пониженную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можно будет с начала любого отчётного квартала на непрерывный срок, равный трём годам. Входящий Н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ДС в ст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оимость приобретённых товаров, услуг или работ включаться не будет, но предприятия на объекте «Доходы минус расходы» смогут учесть его в составе расходов.</w:t>
      </w:r>
    </w:p>
    <w:p w:rsidR="0065638F" w:rsidRPr="0065638F" w:rsidRDefault="0065638F" w:rsidP="0065638F">
      <w:pPr>
        <w:shd w:val="clear" w:color="auto" w:fill="FCF2F2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Организации и предприниматели, чьи доходы за предыдущий или текущий год не превысили лимит в 60 </w:t>
      </w:r>
      <w:proofErr w:type="spellStart"/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млн</w:t>
      </w:r>
      <w:proofErr w:type="spellEnd"/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рублей, будут автоматически освобождены от обязанностей плательщиков налога на добавленную стоимость.</w:t>
      </w:r>
    </w:p>
    <w:p w:rsidR="0065638F" w:rsidRPr="0065638F" w:rsidRDefault="0065638F" w:rsidP="0065638F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65638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Налоговая амнистия при дроблении бизнеса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Для тех руководителей, которые готовы отказаться от нелегального дробления своего бизнеса, с 2025 года будет доступна специальная амнистия. Она включает в себя списание налогов, штрафов и пени, неуплаченных в связи с дроблением за период с января 2022 года по декабрь 2024.</w:t>
      </w:r>
    </w:p>
    <w:p w:rsidR="0065638F" w:rsidRPr="0065638F" w:rsidRDefault="0065638F" w:rsidP="0065638F">
      <w:pPr>
        <w:shd w:val="clear" w:color="auto" w:fill="FFFFFF"/>
        <w:spacing w:after="100" w:afterAutospacing="1" w:line="346" w:lineRule="atLeast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Вместе с тем Минфин планирует устранить связанные с этим новшеством пробелы в налоговом законодательстве, чтобы исключить возникновение новых схем уклонения от уплаты налогов.</w:t>
      </w:r>
    </w:p>
    <w:p w:rsidR="0065638F" w:rsidRPr="0065638F" w:rsidRDefault="0065638F" w:rsidP="0065638F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«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Астрал-Софт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» предоставляет возможность регистрации ООО или ИП без личного посещения ИФНС </w:t>
      </w:r>
      <w:proofErr w:type="gram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благодаря</w:t>
      </w:r>
      <w:proofErr w:type="gram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специальному </w:t>
      </w:r>
      <w:proofErr w:type="spellStart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онлайн-сервису</w:t>
      </w:r>
      <w:proofErr w:type="spellEnd"/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  <w:hyperlink r:id="rId12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«Регистрация бизнеса»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 Взаимодействие с налоговой и подготовку пакета документов специалисты сервиса возьмут на себя, от пользователя потребуется только подпись.</w:t>
      </w: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  <w:t>Кроме того, с помощью услуги </w:t>
      </w:r>
      <w:hyperlink r:id="rId13" w:tgtFrame="_blank" w:history="1">
        <w:r w:rsidRPr="0065638F">
          <w:rPr>
            <w:rFonts w:ascii="Arial" w:eastAsia="Times New Roman" w:hAnsi="Arial" w:cs="Arial"/>
            <w:color w:val="1DB1DF"/>
            <w:sz w:val="19"/>
            <w:u w:val="single"/>
            <w:lang w:eastAsia="ru-RU"/>
          </w:rPr>
          <w:t>получения КЭП ФНС</w:t>
        </w:r>
      </w:hyperlink>
      <w:r w:rsidRPr="0065638F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можно легко пройти процедуру выпуска квалифицированной электронной подписи, необходимой для юридически значимого обмена цифровой документацией. Оставьте заявку на сайте, и специалисты сервиса свяжутся с вами, чтобы проконсультировать по вопросам получения КЭП.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475"/>
    <w:multiLevelType w:val="multilevel"/>
    <w:tmpl w:val="9CF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8DE"/>
    <w:multiLevelType w:val="multilevel"/>
    <w:tmpl w:val="24F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F3B0D"/>
    <w:multiLevelType w:val="multilevel"/>
    <w:tmpl w:val="44A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4423B"/>
    <w:multiLevelType w:val="multilevel"/>
    <w:tmpl w:val="1372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B2824"/>
    <w:multiLevelType w:val="multilevel"/>
    <w:tmpl w:val="3E8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243AC"/>
    <w:multiLevelType w:val="multilevel"/>
    <w:tmpl w:val="ACE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B2E5B"/>
    <w:multiLevelType w:val="multilevel"/>
    <w:tmpl w:val="30F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8F"/>
    <w:rsid w:val="00231508"/>
    <w:rsid w:val="0065638F"/>
    <w:rsid w:val="00D9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6563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638F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38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38F"/>
    <w:rPr>
      <w:rFonts w:eastAsia="Times New Roman"/>
      <w:b/>
      <w:bCs/>
      <w:sz w:val="36"/>
      <w:szCs w:val="36"/>
      <w:lang w:eastAsia="ru-RU"/>
    </w:rPr>
  </w:style>
  <w:style w:type="paragraph" w:customStyle="1" w:styleId="mb-3">
    <w:name w:val="mb-3"/>
    <w:basedOn w:val="a"/>
    <w:rsid w:val="0065638F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6563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al.ru/articles/nalogi/50704/" TargetMode="External"/><Relationship Id="rId13" Type="http://schemas.openxmlformats.org/officeDocument/2006/relationships/hyperlink" Target="https://astral.ru/products/kep-v-f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tral.ru/articles/nalogi/51164/" TargetMode="External"/><Relationship Id="rId12" Type="http://schemas.openxmlformats.org/officeDocument/2006/relationships/hyperlink" Target="https://astral.busi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l.ru/articles/nalogi/51156/" TargetMode="External"/><Relationship Id="rId11" Type="http://schemas.openxmlformats.org/officeDocument/2006/relationships/hyperlink" Target="https://astral.ru/products/astral-otchet-5-0/" TargetMode="External"/><Relationship Id="rId5" Type="http://schemas.openxmlformats.org/officeDocument/2006/relationships/hyperlink" Target="https://www.consultant.ru/document/cons_doc_LAW_48069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stral.ru/products/1c-otche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tral.ru/articles/nalogi/506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2024-11-29T12:39:00Z</dcterms:created>
  <dcterms:modified xsi:type="dcterms:W3CDTF">2024-11-29T12:39:00Z</dcterms:modified>
</cp:coreProperties>
</file>