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19" w:rsidRPr="00374719" w:rsidRDefault="00374719" w:rsidP="00374719">
      <w:pPr>
        <w:rPr>
          <w:b/>
          <w:sz w:val="32"/>
          <w:szCs w:val="32"/>
        </w:rPr>
      </w:pPr>
      <w:r w:rsidRPr="00374719">
        <w:rPr>
          <w:b/>
          <w:sz w:val="32"/>
          <w:szCs w:val="32"/>
        </w:rPr>
        <w:t>Основные изменения для кадровика с 1 марта 2025 года</w:t>
      </w:r>
    </w:p>
    <w:p w:rsidR="00374719" w:rsidRDefault="00374719" w:rsidP="00374719">
      <w:pPr>
        <w:ind w:firstLine="0"/>
      </w:pPr>
    </w:p>
    <w:p w:rsidR="00374719" w:rsidRDefault="00374719" w:rsidP="00374719">
      <w:r>
        <w:t>Весной начали действовать поправки к ТК РФ, в частности о наставничестве, компенсации при увольнении неиспользованных отгулов, а также о трудовых гарантиях для контрактников. Закрепили меры против просрочек по зарплате. Подробнее об этих и других новшествах в нашем обзоре.</w:t>
      </w:r>
    </w:p>
    <w:p w:rsidR="00374719" w:rsidRDefault="00374719" w:rsidP="00374719">
      <w:pPr>
        <w:pStyle w:val="2"/>
      </w:pPr>
      <w:r>
        <w:rPr>
          <w:rStyle w:val="a3"/>
          <w:b/>
          <w:bCs/>
        </w:rPr>
        <w:t>Особенности труда наставников</w:t>
      </w:r>
    </w:p>
    <w:p w:rsidR="00374719" w:rsidRDefault="00374719" w:rsidP="00374719">
      <w:pPr>
        <w:pStyle w:val="a4"/>
      </w:pPr>
      <w:r>
        <w:t xml:space="preserve">ТК РФ дополнили </w:t>
      </w:r>
      <w:hyperlink r:id="rId5" w:history="1">
        <w:r>
          <w:rPr>
            <w:rStyle w:val="a5"/>
          </w:rPr>
          <w:t>статьей</w:t>
        </w:r>
      </w:hyperlink>
      <w:r>
        <w:t xml:space="preserve"> о регулировании наставничества. Поручить такие функции специалисту можно с его письменного согласия. Под ними подразумевают помощь коллеге в овладении навыками работы по профессии или специальности. Содержание, сроки, форму выполнения обязанностей и плату за них </w:t>
      </w:r>
      <w:hyperlink r:id="rId6" w:history="1">
        <w:r>
          <w:rPr>
            <w:rStyle w:val="a5"/>
          </w:rPr>
          <w:t>требуется указать</w:t>
        </w:r>
      </w:hyperlink>
      <w:r>
        <w:t xml:space="preserve"> в трудовом договоре или </w:t>
      </w:r>
      <w:proofErr w:type="spellStart"/>
      <w:r>
        <w:t>допсоглашении</w:t>
      </w:r>
      <w:proofErr w:type="spellEnd"/>
      <w:r>
        <w:t>.</w:t>
      </w:r>
    </w:p>
    <w:p w:rsidR="00374719" w:rsidRDefault="00374719" w:rsidP="00374719">
      <w:pPr>
        <w:pStyle w:val="a4"/>
      </w:pPr>
      <w:r>
        <w:t>Наставничество следует оплачивать. Вознаграждение </w:t>
      </w:r>
      <w:hyperlink r:id="rId7" w:history="1">
        <w:r>
          <w:rPr>
            <w:rStyle w:val="a5"/>
          </w:rPr>
          <w:t>нужно закрепить</w:t>
        </w:r>
      </w:hyperlink>
      <w:r>
        <w:t xml:space="preserve"> в трудовом договоре либо соглашении к нему.</w:t>
      </w:r>
    </w:p>
    <w:p w:rsidR="00374719" w:rsidRDefault="00374719" w:rsidP="00374719">
      <w:pPr>
        <w:pStyle w:val="a4"/>
      </w:pPr>
      <w:r>
        <w:rPr>
          <w:rStyle w:val="a6"/>
        </w:rPr>
        <w:t>Документ: </w:t>
      </w:r>
      <w:hyperlink r:id="rId8" w:history="1">
        <w:r>
          <w:rPr>
            <w:rStyle w:val="a5"/>
            <w:i/>
            <w:iCs/>
          </w:rPr>
          <w:t>Федеральный закон от 09.11.2024 N 381-ФЗ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Компенсация за неиспользованные отгулы при увольнении</w:t>
      </w:r>
    </w:p>
    <w:p w:rsidR="00374719" w:rsidRDefault="00374719" w:rsidP="00374719">
      <w:pPr>
        <w:pStyle w:val="a4"/>
      </w:pPr>
      <w:r>
        <w:t xml:space="preserve">Закрепили </w:t>
      </w:r>
      <w:hyperlink r:id="rId9" w:history="1">
        <w:r>
          <w:rPr>
            <w:rStyle w:val="a5"/>
          </w:rPr>
          <w:t>обязанность</w:t>
        </w:r>
      </w:hyperlink>
      <w:r>
        <w:t xml:space="preserve"> работодателей выплачивать при увольнении компенсацию за неиспользованные </w:t>
      </w:r>
      <w:hyperlink r:id="rId10" w:history="1">
        <w:r>
          <w:rPr>
            <w:rStyle w:val="a5"/>
          </w:rPr>
          <w:t>дни отдыха</w:t>
        </w:r>
      </w:hyperlink>
      <w:r>
        <w:t xml:space="preserve"> за работу в выходные и праздники. Специалист должен получить разницу между </w:t>
      </w:r>
      <w:hyperlink r:id="rId11" w:history="1">
        <w:r>
          <w:rPr>
            <w:rStyle w:val="a5"/>
          </w:rPr>
          <w:t>повышенной</w:t>
        </w:r>
      </w:hyperlink>
      <w:r>
        <w:t xml:space="preserve"> и уже начисленной оплатой. Речь идет обо всех отгулах, не использованных в период трудовой деятельности у конкретного работодателя.</w:t>
      </w:r>
    </w:p>
    <w:p w:rsidR="00374719" w:rsidRDefault="00374719" w:rsidP="00374719">
      <w:pPr>
        <w:pStyle w:val="a4"/>
      </w:pPr>
      <w:r>
        <w:t xml:space="preserve">Взять день отдыха работник может </w:t>
      </w:r>
      <w:hyperlink r:id="rId12" w:history="1">
        <w:r>
          <w:rPr>
            <w:rStyle w:val="a5"/>
          </w:rPr>
          <w:t>в течение года</w:t>
        </w:r>
      </w:hyperlink>
      <w:r>
        <w:t xml:space="preserve"> </w:t>
      </w:r>
      <w:proofErr w:type="gramStart"/>
      <w:r>
        <w:t>с даты выполнения</w:t>
      </w:r>
      <w:proofErr w:type="gramEnd"/>
      <w:r>
        <w:t xml:space="preserve"> обязанностей в выходной или праздник. Сотрудникам позволили также присоединить отгул к отпуску в этом периоде.</w:t>
      </w:r>
    </w:p>
    <w:p w:rsidR="00374719" w:rsidRDefault="00374719" w:rsidP="00374719">
      <w:pPr>
        <w:pStyle w:val="a4"/>
      </w:pPr>
      <w:r>
        <w:t xml:space="preserve">До того как изменения вступили в силу, применяли </w:t>
      </w:r>
      <w:hyperlink r:id="rId13" w:history="1">
        <w:r>
          <w:rPr>
            <w:rStyle w:val="a5"/>
          </w:rPr>
          <w:t>постановление КС РФ</w:t>
        </w:r>
      </w:hyperlink>
      <w:r>
        <w:t>.</w:t>
      </w:r>
    </w:p>
    <w:p w:rsidR="00374719" w:rsidRDefault="00374719" w:rsidP="00374719">
      <w:pPr>
        <w:pStyle w:val="a4"/>
      </w:pPr>
      <w:r>
        <w:rPr>
          <w:rStyle w:val="a6"/>
        </w:rPr>
        <w:t>Документ: </w:t>
      </w:r>
      <w:hyperlink r:id="rId14" w:history="1">
        <w:r>
          <w:rPr>
            <w:rStyle w:val="a5"/>
            <w:i/>
            <w:iCs/>
          </w:rPr>
          <w:t>Федеральный закон от 30.09.2024 N 339-ФЗ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Гарантии для контрактников</w:t>
      </w:r>
    </w:p>
    <w:p w:rsidR="00374719" w:rsidRDefault="00374719" w:rsidP="00374719">
      <w:pPr>
        <w:pStyle w:val="a4"/>
      </w:pPr>
      <w:r>
        <w:t xml:space="preserve">Работодатели должны </w:t>
      </w:r>
      <w:hyperlink r:id="rId15" w:history="1">
        <w:r>
          <w:rPr>
            <w:rStyle w:val="a5"/>
          </w:rPr>
          <w:t>приостанавливать</w:t>
        </w:r>
      </w:hyperlink>
      <w:r>
        <w:t xml:space="preserve"> действие трудового договора со специалистом на весь срок контракта о прохождении военной службы в период мобилизации, военного положения или в военное время. Ранее гарантия </w:t>
      </w:r>
      <w:hyperlink r:id="rId16" w:history="1">
        <w:r>
          <w:rPr>
            <w:rStyle w:val="a5"/>
          </w:rPr>
          <w:t>была закреплена</w:t>
        </w:r>
      </w:hyperlink>
      <w:r>
        <w:t xml:space="preserve"> в ТК РФ с отсылкой к </w:t>
      </w:r>
      <w:hyperlink r:id="rId17" w:history="1">
        <w:r>
          <w:rPr>
            <w:rStyle w:val="a5"/>
          </w:rPr>
          <w:t>норме</w:t>
        </w:r>
      </w:hyperlink>
      <w:r>
        <w:t>, где срок контракта ограничен (год или меньший период).</w:t>
      </w:r>
    </w:p>
    <w:p w:rsidR="00374719" w:rsidRDefault="00374719" w:rsidP="00374719">
      <w:pPr>
        <w:pStyle w:val="a4"/>
      </w:pPr>
      <w:r>
        <w:t xml:space="preserve">Аналогично изменили время предоставления </w:t>
      </w:r>
      <w:hyperlink r:id="rId18" w:history="1">
        <w:r>
          <w:rPr>
            <w:rStyle w:val="a5"/>
          </w:rPr>
          <w:t>гарантий</w:t>
        </w:r>
      </w:hyperlink>
      <w:r>
        <w:t xml:space="preserve"> родителю с детьми определенного возраста, если другой родитель проходит военную службу по данному контракту.</w:t>
      </w:r>
    </w:p>
    <w:p w:rsidR="00374719" w:rsidRDefault="00374719" w:rsidP="00374719">
      <w:pPr>
        <w:pStyle w:val="a4"/>
      </w:pPr>
      <w:r>
        <w:rPr>
          <w:rStyle w:val="a6"/>
        </w:rPr>
        <w:t xml:space="preserve">Документ: </w:t>
      </w:r>
      <w:hyperlink r:id="rId19" w:history="1">
        <w:r>
          <w:rPr>
            <w:rStyle w:val="a5"/>
            <w:i/>
            <w:iCs/>
          </w:rPr>
          <w:t>Федеральный закон от 26.12.2024 N 498-ФЗ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Борьба с задержками зарплаты</w:t>
      </w:r>
    </w:p>
    <w:p w:rsidR="00374719" w:rsidRDefault="00374719" w:rsidP="00374719">
      <w:pPr>
        <w:pStyle w:val="a4"/>
      </w:pPr>
      <w:r>
        <w:t xml:space="preserve">В ТК РФ закрепили </w:t>
      </w:r>
      <w:hyperlink r:id="rId20" w:history="1">
        <w:r>
          <w:rPr>
            <w:rStyle w:val="a5"/>
          </w:rPr>
          <w:t>меры</w:t>
        </w:r>
      </w:hyperlink>
      <w:r>
        <w:t xml:space="preserve"> против просрочек по зарплате:</w:t>
      </w:r>
    </w:p>
    <w:p w:rsidR="00374719" w:rsidRDefault="00374719" w:rsidP="00374719">
      <w:pPr>
        <w:numPr>
          <w:ilvl w:val="0"/>
          <w:numId w:val="1"/>
        </w:numPr>
        <w:spacing w:before="100" w:beforeAutospacing="1" w:after="100" w:afterAutospacing="1"/>
        <w:jc w:val="left"/>
      </w:pPr>
      <w:r>
        <w:lastRenderedPageBreak/>
        <w:t>профилактику и мониторинг;</w:t>
      </w:r>
    </w:p>
    <w:p w:rsidR="00374719" w:rsidRDefault="00374719" w:rsidP="00374719">
      <w:pPr>
        <w:numPr>
          <w:ilvl w:val="0"/>
          <w:numId w:val="1"/>
        </w:numPr>
        <w:spacing w:before="100" w:beforeAutospacing="1" w:after="100" w:afterAutospacing="1"/>
        <w:jc w:val="left"/>
      </w:pPr>
      <w:r>
        <w:t>привлечение к ответственности за нарушение сроков выплаты;</w:t>
      </w:r>
    </w:p>
    <w:p w:rsidR="00374719" w:rsidRDefault="00374719" w:rsidP="00374719">
      <w:pPr>
        <w:numPr>
          <w:ilvl w:val="0"/>
          <w:numId w:val="1"/>
        </w:numPr>
        <w:spacing w:before="100" w:beforeAutospacing="1" w:after="100" w:afterAutospacing="1"/>
        <w:jc w:val="left"/>
      </w:pPr>
      <w:r>
        <w:t>содействие в погашении долга по зарплате;</w:t>
      </w:r>
    </w:p>
    <w:p w:rsidR="00374719" w:rsidRDefault="00374719" w:rsidP="00374719">
      <w:pPr>
        <w:numPr>
          <w:ilvl w:val="0"/>
          <w:numId w:val="1"/>
        </w:numPr>
        <w:spacing w:before="100" w:beforeAutospacing="1" w:after="100" w:afterAutospacing="1"/>
        <w:jc w:val="left"/>
      </w:pPr>
      <w:r>
        <w:t>проведение разъяснительной работы с участием сторон социального партнерства.</w:t>
      </w:r>
    </w:p>
    <w:p w:rsidR="00374719" w:rsidRDefault="00374719" w:rsidP="00374719">
      <w:pPr>
        <w:pStyle w:val="a4"/>
      </w:pPr>
      <w:r>
        <w:t xml:space="preserve">Чтобы координировать деятельность в этой сфере, </w:t>
      </w:r>
      <w:hyperlink r:id="rId21" w:history="1">
        <w:r>
          <w:rPr>
            <w:rStyle w:val="a5"/>
          </w:rPr>
          <w:t>формируют</w:t>
        </w:r>
      </w:hyperlink>
      <w:r>
        <w:t xml:space="preserve"> межведомственные комиссии субъектов РФ.</w:t>
      </w:r>
    </w:p>
    <w:p w:rsidR="00374719" w:rsidRDefault="00374719" w:rsidP="00374719">
      <w:pPr>
        <w:pStyle w:val="a4"/>
      </w:pPr>
      <w:r>
        <w:rPr>
          <w:rStyle w:val="a6"/>
        </w:rPr>
        <w:t xml:space="preserve">Документ: </w:t>
      </w:r>
      <w:hyperlink r:id="rId22" w:history="1">
        <w:r>
          <w:rPr>
            <w:rStyle w:val="a5"/>
            <w:i/>
            <w:iCs/>
          </w:rPr>
          <w:t>Федеральный закон от 08.08.2024 N 268-ФЗ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Аптечка первой помощи</w:t>
      </w:r>
    </w:p>
    <w:p w:rsidR="00374719" w:rsidRDefault="00374719" w:rsidP="00374719">
      <w:pPr>
        <w:pStyle w:val="a4"/>
      </w:pPr>
      <w:r>
        <w:t xml:space="preserve">Заработали </w:t>
      </w:r>
      <w:hyperlink r:id="rId23" w:history="1">
        <w:r>
          <w:rPr>
            <w:rStyle w:val="a5"/>
          </w:rPr>
          <w:t>требования</w:t>
        </w:r>
      </w:hyperlink>
      <w:r>
        <w:t xml:space="preserve"> к тому, как размещать, хранить и использовать аптечки для оказания первой помощи персоналу. Ранее действовали только </w:t>
      </w:r>
      <w:hyperlink r:id="rId24" w:history="1">
        <w:r>
          <w:rPr>
            <w:rStyle w:val="a5"/>
          </w:rPr>
          <w:t>требования</w:t>
        </w:r>
      </w:hyperlink>
      <w:r>
        <w:t xml:space="preserve"> к их комплектации.</w:t>
      </w:r>
    </w:p>
    <w:p w:rsidR="00374719" w:rsidRDefault="00374719" w:rsidP="00374719">
      <w:pPr>
        <w:pStyle w:val="a4"/>
      </w:pPr>
      <w:r>
        <w:t xml:space="preserve">Среди прочего </w:t>
      </w:r>
      <w:hyperlink r:id="rId25" w:history="1">
        <w:r>
          <w:rPr>
            <w:rStyle w:val="a5"/>
          </w:rPr>
          <w:t>закрепили</w:t>
        </w:r>
      </w:hyperlink>
      <w:r>
        <w:t> положение о том, что количество аптечек, а также мест для их размещения и хранения работодатель определяет исходя из среднесписочной численности организации и других параметров. При этом надо учесть мнение первичной профсоюзной организации или иного представительного органа сотрудников.</w:t>
      </w:r>
    </w:p>
    <w:p w:rsidR="00374719" w:rsidRDefault="00374719" w:rsidP="00374719">
      <w:pPr>
        <w:pStyle w:val="a4"/>
      </w:pPr>
      <w:r>
        <w:rPr>
          <w:rStyle w:val="a6"/>
        </w:rPr>
        <w:t xml:space="preserve">Документ: </w:t>
      </w:r>
      <w:hyperlink r:id="rId26" w:history="1">
        <w:r>
          <w:rPr>
            <w:rStyle w:val="a5"/>
            <w:i/>
            <w:iCs/>
          </w:rPr>
          <w:t>Приказ Минтруда России от 09.08.2024 N 398н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 xml:space="preserve">Кадровые изменения в </w:t>
      </w:r>
      <w:proofErr w:type="spellStart"/>
      <w:r>
        <w:rPr>
          <w:rStyle w:val="a3"/>
          <w:b/>
          <w:bCs/>
        </w:rPr>
        <w:t>финкомпаниях</w:t>
      </w:r>
      <w:proofErr w:type="spellEnd"/>
    </w:p>
    <w:p w:rsidR="00374719" w:rsidRDefault="00374719" w:rsidP="00374719">
      <w:pPr>
        <w:pStyle w:val="a4"/>
      </w:pPr>
      <w:r>
        <w:t xml:space="preserve">Уточнили порядок сообщения об избрании или назначении на ряд должностей. Например, с 3 до 7 рабочих дней </w:t>
      </w:r>
      <w:hyperlink r:id="rId27" w:history="1">
        <w:r>
          <w:rPr>
            <w:rStyle w:val="a5"/>
          </w:rPr>
          <w:t>увеличили срок</w:t>
        </w:r>
      </w:hyperlink>
      <w:r>
        <w:t>, в который кредитная организация должна уведомить ЦБ РФ об избрании либо освобождении члена совета директоров. Срок исчисляют со дня принятия решения.</w:t>
      </w:r>
    </w:p>
    <w:p w:rsidR="00374719" w:rsidRDefault="00374719" w:rsidP="00374719">
      <w:pPr>
        <w:pStyle w:val="a4"/>
      </w:pPr>
      <w:r>
        <w:t>Большинство новшеств актуально не только для кредитных, но и для иных финансовых организаций.</w:t>
      </w:r>
    </w:p>
    <w:p w:rsidR="00374719" w:rsidRDefault="00374719" w:rsidP="00374719">
      <w:pPr>
        <w:pStyle w:val="a4"/>
      </w:pPr>
      <w:r>
        <w:rPr>
          <w:rStyle w:val="a6"/>
        </w:rPr>
        <w:t xml:space="preserve">Документы: </w:t>
      </w:r>
      <w:hyperlink r:id="rId28" w:history="1">
        <w:r>
          <w:rPr>
            <w:rStyle w:val="a5"/>
            <w:i/>
            <w:iCs/>
          </w:rPr>
          <w:t>Федеральный закон от 22.07.2024 N 198-ФЗ</w:t>
        </w:r>
      </w:hyperlink>
      <w:r>
        <w:rPr>
          <w:rStyle w:val="a6"/>
        </w:rPr>
        <w:t>; </w:t>
      </w:r>
      <w:hyperlink r:id="rId29" w:history="1">
        <w:r>
          <w:rPr>
            <w:rStyle w:val="a5"/>
            <w:i/>
            <w:iCs/>
          </w:rPr>
          <w:t>Указание Банка России от 19.12.2024 N 6966-У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Противопоказания к отдельным видам работ</w:t>
      </w:r>
    </w:p>
    <w:p w:rsidR="00374719" w:rsidRDefault="00374719" w:rsidP="00374719">
      <w:pPr>
        <w:pStyle w:val="a4"/>
      </w:pPr>
      <w:r>
        <w:t xml:space="preserve">Минздрав утвердил </w:t>
      </w:r>
      <w:hyperlink r:id="rId30" w:history="1">
        <w:r>
          <w:rPr>
            <w:rStyle w:val="a5"/>
          </w:rPr>
          <w:t>перечень противопоказаний</w:t>
        </w:r>
      </w:hyperlink>
      <w:r>
        <w:t xml:space="preserve"> к работам, связанным с движением поездов и маневровой работой. С марта его следует использовать при проведении предварительных и периодических медосмотров </w:t>
      </w:r>
      <w:hyperlink r:id="rId31" w:history="1">
        <w:r>
          <w:rPr>
            <w:rStyle w:val="a5"/>
          </w:rPr>
          <w:t>работников</w:t>
        </w:r>
      </w:hyperlink>
      <w:r>
        <w:t>.</w:t>
      </w:r>
    </w:p>
    <w:p w:rsidR="00374719" w:rsidRDefault="00374719" w:rsidP="00374719">
      <w:pPr>
        <w:pStyle w:val="a4"/>
      </w:pPr>
      <w:r>
        <w:t xml:space="preserve">Так, </w:t>
      </w:r>
      <w:hyperlink r:id="rId32" w:history="1">
        <w:r>
          <w:rPr>
            <w:rStyle w:val="a5"/>
          </w:rPr>
          <w:t>сахарный диабет</w:t>
        </w:r>
      </w:hyperlink>
      <w:r>
        <w:t xml:space="preserve"> стал противопоказанием при любой степени нарушения функций, а также в случае, когда нарушения нет, но пациент на инсулинотерапии. </w:t>
      </w:r>
      <w:hyperlink r:id="rId33" w:history="1">
        <w:r>
          <w:rPr>
            <w:rStyle w:val="a5"/>
          </w:rPr>
          <w:t>Ранее</w:t>
        </w:r>
      </w:hyperlink>
      <w:r>
        <w:t xml:space="preserve"> при диабете 2-го типа учитывали тяжесть заболевания.</w:t>
      </w:r>
    </w:p>
    <w:p w:rsidR="00374719" w:rsidRDefault="00374719" w:rsidP="00374719">
      <w:pPr>
        <w:pStyle w:val="a4"/>
      </w:pPr>
      <w:r>
        <w:t xml:space="preserve">Скорректировали также </w:t>
      </w:r>
      <w:hyperlink r:id="rId34" w:history="1">
        <w:r>
          <w:rPr>
            <w:rStyle w:val="a5"/>
          </w:rPr>
          <w:t>перечень</w:t>
        </w:r>
      </w:hyperlink>
      <w:r>
        <w:t xml:space="preserve"> медицинских противопоказаний к вредным или опасным работам, а также работам, для которых нужны предварительные и периодические медосмотры. </w:t>
      </w:r>
      <w:hyperlink r:id="rId35" w:history="1">
        <w:r>
          <w:rPr>
            <w:rStyle w:val="a5"/>
          </w:rPr>
          <w:t>Поправки</w:t>
        </w:r>
      </w:hyperlink>
      <w:r>
        <w:t xml:space="preserve"> касаются пациентов с разными формами потери слуха. Круг тех, кто не имеет противопоказаний, стал шире.</w:t>
      </w:r>
    </w:p>
    <w:p w:rsidR="00374719" w:rsidRDefault="00374719" w:rsidP="00374719">
      <w:pPr>
        <w:pStyle w:val="a4"/>
      </w:pPr>
      <w:r>
        <w:rPr>
          <w:rStyle w:val="a6"/>
        </w:rPr>
        <w:lastRenderedPageBreak/>
        <w:t xml:space="preserve">Документы: </w:t>
      </w:r>
      <w:hyperlink r:id="rId36" w:history="1">
        <w:r>
          <w:rPr>
            <w:rStyle w:val="a5"/>
            <w:i/>
            <w:iCs/>
          </w:rPr>
          <w:t>Приказ Минздрава России от 06.05.2024 N 226н</w:t>
        </w:r>
      </w:hyperlink>
      <w:r>
        <w:rPr>
          <w:rStyle w:val="a6"/>
        </w:rPr>
        <w:t xml:space="preserve">; </w:t>
      </w:r>
      <w:hyperlink r:id="rId37" w:history="1">
        <w:r>
          <w:rPr>
            <w:rStyle w:val="a5"/>
            <w:i/>
            <w:iCs/>
          </w:rPr>
          <w:t>Приказ Минздрава России от 02.10.2024 N 509н</w:t>
        </w:r>
      </w:hyperlink>
    </w:p>
    <w:p w:rsidR="00374719" w:rsidRDefault="00374719" w:rsidP="00374719">
      <w:pPr>
        <w:pStyle w:val="2"/>
      </w:pPr>
      <w:r>
        <w:rPr>
          <w:rStyle w:val="a3"/>
          <w:b/>
          <w:bCs/>
        </w:rPr>
        <w:t>Аттестация железнодорожников</w:t>
      </w:r>
    </w:p>
    <w:p w:rsidR="00374719" w:rsidRDefault="00374719" w:rsidP="00374719">
      <w:pPr>
        <w:pStyle w:val="a4"/>
      </w:pPr>
      <w:r>
        <w:t xml:space="preserve">Утвердили новые </w:t>
      </w:r>
      <w:hyperlink r:id="rId38" w:history="1">
        <w:r>
          <w:rPr>
            <w:rStyle w:val="a5"/>
          </w:rPr>
          <w:t>порядок и сроки</w:t>
        </w:r>
      </w:hyperlink>
      <w:r>
        <w:t xml:space="preserve">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пользования. Прежние </w:t>
      </w:r>
      <w:hyperlink r:id="rId39" w:history="1">
        <w:r>
          <w:rPr>
            <w:rStyle w:val="a5"/>
          </w:rPr>
          <w:t>правила</w:t>
        </w:r>
      </w:hyperlink>
      <w:r>
        <w:t xml:space="preserve"> утратили силу.</w:t>
      </w:r>
    </w:p>
    <w:p w:rsidR="00374719" w:rsidRDefault="00374719" w:rsidP="00374719">
      <w:pPr>
        <w:pStyle w:val="a4"/>
      </w:pPr>
      <w:r>
        <w:rPr>
          <w:rStyle w:val="a6"/>
        </w:rPr>
        <w:t xml:space="preserve">Документ: </w:t>
      </w:r>
      <w:hyperlink r:id="rId40" w:history="1">
        <w:r>
          <w:rPr>
            <w:rStyle w:val="a5"/>
            <w:i/>
            <w:iCs/>
          </w:rPr>
          <w:t>Приказ Минтранса России от 31.07.2024 N 260</w:t>
        </w:r>
      </w:hyperlink>
    </w:p>
    <w:p w:rsidR="00231508" w:rsidRPr="00374719" w:rsidRDefault="00231508" w:rsidP="00374719"/>
    <w:sectPr w:rsidR="00231508" w:rsidRPr="00374719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A40"/>
    <w:multiLevelType w:val="multilevel"/>
    <w:tmpl w:val="97F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19"/>
    <w:rsid w:val="00231508"/>
    <w:rsid w:val="00374719"/>
    <w:rsid w:val="007E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374719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71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ags-news">
    <w:name w:val="tags-news"/>
    <w:basedOn w:val="a0"/>
    <w:rsid w:val="00374719"/>
  </w:style>
  <w:style w:type="character" w:customStyle="1" w:styleId="20">
    <w:name w:val="Заголовок 2 Знак"/>
    <w:basedOn w:val="a0"/>
    <w:link w:val="2"/>
    <w:uiPriority w:val="9"/>
    <w:semiHidden/>
    <w:rsid w:val="00374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74719"/>
    <w:rPr>
      <w:b/>
      <w:bCs/>
    </w:rPr>
  </w:style>
  <w:style w:type="paragraph" w:styleId="a4">
    <w:name w:val="Normal (Web)"/>
    <w:basedOn w:val="a"/>
    <w:uiPriority w:val="99"/>
    <w:semiHidden/>
    <w:unhideWhenUsed/>
    <w:rsid w:val="00374719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5">
    <w:name w:val="Hyperlink"/>
    <w:basedOn w:val="a0"/>
    <w:uiPriority w:val="99"/>
    <w:semiHidden/>
    <w:unhideWhenUsed/>
    <w:rsid w:val="00374719"/>
    <w:rPr>
      <w:color w:val="0000FF"/>
      <w:u w:val="single"/>
    </w:rPr>
  </w:style>
  <w:style w:type="character" w:styleId="a6">
    <w:name w:val="Emphasis"/>
    <w:basedOn w:val="a0"/>
    <w:uiPriority w:val="20"/>
    <w:qFormat/>
    <w:rsid w:val="003747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070&amp;dst=100010&amp;demo=1" TargetMode="External"/><Relationship Id="rId13" Type="http://schemas.openxmlformats.org/officeDocument/2006/relationships/hyperlink" Target="/legalnews/24021/" TargetMode="External"/><Relationship Id="rId18" Type="http://schemas.openxmlformats.org/officeDocument/2006/relationships/hyperlink" Target="https://login.consultant.ru/link/?req=doc&amp;base=LAW&amp;n=432078&amp;dst=100230&amp;demo=1" TargetMode="External"/><Relationship Id="rId26" Type="http://schemas.openxmlformats.org/officeDocument/2006/relationships/hyperlink" Target="https://login.consultant.ru/link/?req=doc&amp;base=LAW&amp;n=485518&amp;dst=100010&amp;demo=1" TargetMode="External"/><Relationship Id="rId39" Type="http://schemas.openxmlformats.org/officeDocument/2006/relationships/hyperlink" Target="https://login.consultant.ru/link/?req=doc&amp;base=LAW&amp;n=134178&amp;dst=100009&amp;dem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506&amp;dst=100025&amp;demo=1" TargetMode="External"/><Relationship Id="rId34" Type="http://schemas.openxmlformats.org/officeDocument/2006/relationships/hyperlink" Target="https://login.consultant.ru/link/?req=doc&amp;base=LAW&amp;n=409057&amp;dst=101139&amp;demo=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0070&amp;dst=100015&amp;demo=1" TargetMode="External"/><Relationship Id="rId12" Type="http://schemas.openxmlformats.org/officeDocument/2006/relationships/hyperlink" Target="https://login.consultant.ru/link/?req=doc&amp;base=LAW&amp;n=486920&amp;dst=100010&amp;demo=1" TargetMode="External"/><Relationship Id="rId17" Type="http://schemas.openxmlformats.org/officeDocument/2006/relationships/hyperlink" Target="https://login.consultant.ru/link/?req=doc&amp;base=LAW&amp;n=487135&amp;dst=1187&amp;demo=1" TargetMode="External"/><Relationship Id="rId25" Type="http://schemas.openxmlformats.org/officeDocument/2006/relationships/hyperlink" Target="https://login.consultant.ru/link/?req=doc&amp;base=LAW&amp;n=485518&amp;dst=100019&amp;demo=1" TargetMode="External"/><Relationship Id="rId33" Type="http://schemas.openxmlformats.org/officeDocument/2006/relationships/hyperlink" Target="https://login.consultant.ru/link/?req=doc&amp;base=LAW&amp;n=58500&amp;dst=100045&amp;demo=1" TargetMode="External"/><Relationship Id="rId38" Type="http://schemas.openxmlformats.org/officeDocument/2006/relationships/hyperlink" Target="https://login.consultant.ru/link/?req=doc&amp;base=LAW&amp;n=484549&amp;dst=100011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279&amp;dst=3113&amp;demo=1" TargetMode="External"/><Relationship Id="rId20" Type="http://schemas.openxmlformats.org/officeDocument/2006/relationships/hyperlink" Target="https://login.consultant.ru/link/?req=doc&amp;base=LAW&amp;n=482506&amp;dst=100019&amp;demo=1" TargetMode="External"/><Relationship Id="rId29" Type="http://schemas.openxmlformats.org/officeDocument/2006/relationships/hyperlink" Target="https://login.consultant.ru/link/?req=doc&amp;base=LAW&amp;n=498521&amp;dst=100010&amp;demo=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070&amp;dst=100012&amp;demo=1" TargetMode="External"/><Relationship Id="rId11" Type="http://schemas.openxmlformats.org/officeDocument/2006/relationships/hyperlink" Target="https://login.consultant.ru/link/?req=doc&amp;base=LAW&amp;n=482885&amp;dst=716&amp;demo=1" TargetMode="External"/><Relationship Id="rId24" Type="http://schemas.openxmlformats.org/officeDocument/2006/relationships/hyperlink" Target="https://login.consultant.ru/link/?req=doc&amp;base=LAW&amp;n=477795&amp;dst=100012&amp;demo=1" TargetMode="External"/><Relationship Id="rId32" Type="http://schemas.openxmlformats.org/officeDocument/2006/relationships/hyperlink" Target="https://login.consultant.ru/link/?req=doc&amp;base=LAW&amp;n=478408&amp;dst=100140&amp;demo=1" TargetMode="External"/><Relationship Id="rId37" Type="http://schemas.openxmlformats.org/officeDocument/2006/relationships/hyperlink" Target="https://login.consultant.ru/link/?req=doc&amp;base=LAW&amp;n=489685&amp;dst=0&amp;demo=1" TargetMode="External"/><Relationship Id="rId40" Type="http://schemas.openxmlformats.org/officeDocument/2006/relationships/hyperlink" Target="https://login.consultant.ru/link/?req=doc&amp;base=LAW&amp;n=484549&amp;dst=0&amp;demo=1" TargetMode="External"/><Relationship Id="rId5" Type="http://schemas.openxmlformats.org/officeDocument/2006/relationships/hyperlink" Target="https://login.consultant.ru/link/?req=doc&amp;base=LAW&amp;n=490070&amp;dst=100010&amp;demo=1" TargetMode="External"/><Relationship Id="rId15" Type="http://schemas.openxmlformats.org/officeDocument/2006/relationships/hyperlink" Target="https://login.consultant.ru/link/?req=doc&amp;base=LAW&amp;n=482885&amp;dst=3239&amp;demo=1" TargetMode="External"/><Relationship Id="rId23" Type="http://schemas.openxmlformats.org/officeDocument/2006/relationships/hyperlink" Target="https://login.consultant.ru/link/?req=doc&amp;base=LAW&amp;n=485518&amp;dst=100010&amp;demo=1" TargetMode="External"/><Relationship Id="rId28" Type="http://schemas.openxmlformats.org/officeDocument/2006/relationships/hyperlink" Target="https://login.consultant.ru/link/?req=doc&amp;base=LAW&amp;n=481276&amp;dst=100011&amp;demo=1" TargetMode="External"/><Relationship Id="rId36" Type="http://schemas.openxmlformats.org/officeDocument/2006/relationships/hyperlink" Target="https://login.consultant.ru/link/?req=doc&amp;base=LAW&amp;n=478408&amp;dst=0&amp;demo=1" TargetMode="External"/><Relationship Id="rId10" Type="http://schemas.openxmlformats.org/officeDocument/2006/relationships/hyperlink" Target="https://login.consultant.ru/link/?req=doc&amp;base=LAW&amp;n=482885&amp;dst=721&amp;demo=1" TargetMode="External"/><Relationship Id="rId19" Type="http://schemas.openxmlformats.org/officeDocument/2006/relationships/hyperlink" Target="https://login.consultant.ru/link/?req=doc&amp;base=LAW&amp;n=494428&amp;dst=100010&amp;demo=1" TargetMode="External"/><Relationship Id="rId31" Type="http://schemas.openxmlformats.org/officeDocument/2006/relationships/hyperlink" Target="https://login.consultant.ru/link/?req=doc&amp;base=LAW&amp;n=24287&amp;dst=100009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920&amp;dst=100011&amp;demo=1" TargetMode="External"/><Relationship Id="rId14" Type="http://schemas.openxmlformats.org/officeDocument/2006/relationships/hyperlink" Target="https://login.consultant.ru/link/?req=doc&amp;base=LAW&amp;n=486920&amp;dst=100010&amp;demo=1" TargetMode="External"/><Relationship Id="rId22" Type="http://schemas.openxmlformats.org/officeDocument/2006/relationships/hyperlink" Target="https://login.consultant.ru/link/?req=doc&amp;base=LAW&amp;n=482506&amp;dst=100018&amp;demo=1" TargetMode="External"/><Relationship Id="rId27" Type="http://schemas.openxmlformats.org/officeDocument/2006/relationships/hyperlink" Target="https://login.consultant.ru/link/?req=doc&amp;base=LAW&amp;n=481276&amp;dst=100011&amp;demo=1" TargetMode="External"/><Relationship Id="rId30" Type="http://schemas.openxmlformats.org/officeDocument/2006/relationships/hyperlink" Target="https://login.consultant.ru/link/?req=doc&amp;base=LAW&amp;n=478408&amp;dst=100011&amp;demo=1" TargetMode="External"/><Relationship Id="rId35" Type="http://schemas.openxmlformats.org/officeDocument/2006/relationships/hyperlink" Target="https://login.consultant.ru/link/?req=doc&amp;base=LAW&amp;n=489685&amp;dst=100006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cp:lastPrinted>2025-03-31T11:34:00Z</cp:lastPrinted>
  <dcterms:created xsi:type="dcterms:W3CDTF">2025-03-31T11:32:00Z</dcterms:created>
  <dcterms:modified xsi:type="dcterms:W3CDTF">2025-03-31T11:36:00Z</dcterms:modified>
</cp:coreProperties>
</file>