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EC8" w:rsidRPr="00214EC8" w:rsidRDefault="00214EC8" w:rsidP="00214EC8">
      <w:pPr>
        <w:shd w:val="clear" w:color="auto" w:fill="FFFFFF"/>
        <w:spacing w:before="240" w:after="120"/>
        <w:ind w:firstLine="0"/>
        <w:jc w:val="center"/>
        <w:outlineLvl w:val="0"/>
        <w:rPr>
          <w:rFonts w:eastAsia="Times New Roman"/>
          <w:color w:val="2A2F38"/>
          <w:kern w:val="36"/>
          <w:sz w:val="40"/>
          <w:szCs w:val="40"/>
          <w:lang w:eastAsia="ru-RU"/>
        </w:rPr>
      </w:pPr>
      <w:r w:rsidRPr="00214EC8">
        <w:rPr>
          <w:rFonts w:eastAsia="Times New Roman"/>
          <w:color w:val="2A2F38"/>
          <w:kern w:val="36"/>
          <w:sz w:val="40"/>
          <w:szCs w:val="40"/>
          <w:lang w:eastAsia="ru-RU"/>
        </w:rPr>
        <w:t xml:space="preserve">Памятка </w:t>
      </w:r>
      <w:proofErr w:type="gramStart"/>
      <w:r w:rsidRPr="00214EC8">
        <w:rPr>
          <w:rFonts w:eastAsia="Times New Roman"/>
          <w:color w:val="2A2F38"/>
          <w:kern w:val="36"/>
          <w:sz w:val="40"/>
          <w:szCs w:val="40"/>
          <w:lang w:eastAsia="ru-RU"/>
        </w:rPr>
        <w:t>о</w:t>
      </w:r>
      <w:proofErr w:type="gramEnd"/>
      <w:r w:rsidRPr="00214EC8">
        <w:rPr>
          <w:rFonts w:eastAsia="Times New Roman"/>
          <w:color w:val="2A2F38"/>
          <w:kern w:val="36"/>
          <w:sz w:val="40"/>
          <w:szCs w:val="40"/>
          <w:lang w:eastAsia="ru-RU"/>
        </w:rPr>
        <w:t xml:space="preserve"> изменениях в законодательстве в 2024 году</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Ежегодно организации и ИП сталкиваются с новыми изменениями в законодательстве. 2024 год не стал исключением: в этом году нас ждут изменения в порядках и сроках уплаты НДФЛ и предоставления уведомлений по исчисленному налогу, обновление форм регламентированной отчетности, перечисление налогов и взносов только в составе ЕНП и многое другое. </w:t>
      </w:r>
    </w:p>
    <w:p w:rsidR="00214EC8" w:rsidRPr="00214EC8" w:rsidRDefault="00214EC8" w:rsidP="00214EC8">
      <w:pPr>
        <w:shd w:val="clear" w:color="auto" w:fill="FFFFFF"/>
        <w:spacing w:before="240" w:after="120"/>
        <w:ind w:firstLine="0"/>
        <w:jc w:val="left"/>
        <w:outlineLvl w:val="2"/>
        <w:rPr>
          <w:rFonts w:ascii="inherit" w:eastAsia="Times New Roman" w:hAnsi="inherit" w:cs="Arial"/>
          <w:color w:val="2A2F38"/>
          <w:sz w:val="29"/>
          <w:szCs w:val="29"/>
          <w:lang w:eastAsia="ru-RU"/>
        </w:rPr>
      </w:pPr>
      <w:r w:rsidRPr="00214EC8">
        <w:rPr>
          <w:rFonts w:ascii="inherit" w:eastAsia="Times New Roman" w:hAnsi="inherit" w:cs="Arial"/>
          <w:color w:val="2A2F38"/>
          <w:sz w:val="29"/>
          <w:szCs w:val="29"/>
          <w:lang w:eastAsia="ru-RU"/>
        </w:rPr>
        <w:t>Новые сроки по НДФЛ с 2024 года</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С 1 января 2024 года перечислять налоги и взносы можно только в составе ЕНП. Также с 1 января 2024 года поменялись сроки уплаты НДФЛ. Теперь срок сдачи уведомления и срок уплаты налога следующий:</w:t>
      </w:r>
    </w:p>
    <w:tbl>
      <w:tblPr>
        <w:tblW w:w="6000"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2085"/>
        <w:gridCol w:w="2015"/>
        <w:gridCol w:w="1900"/>
      </w:tblGrid>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b/>
                <w:bCs/>
                <w:sz w:val="24"/>
                <w:lang w:eastAsia="ru-RU"/>
              </w:rPr>
              <w:t>Период, за который удержан НДФЛ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b/>
                <w:bCs/>
                <w:sz w:val="24"/>
                <w:lang w:eastAsia="ru-RU"/>
              </w:rPr>
              <w:t>Срок сдачи уведомления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b/>
                <w:bCs/>
                <w:sz w:val="24"/>
                <w:lang w:eastAsia="ru-RU"/>
              </w:rPr>
              <w:t>Срок уплаты налога</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1 по 22 число текущего месяца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25 числа текущего месяца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spacing w:after="120"/>
              <w:ind w:firstLine="0"/>
              <w:jc w:val="left"/>
              <w:rPr>
                <w:rFonts w:eastAsia="Times New Roman"/>
                <w:sz w:val="24"/>
                <w:lang w:eastAsia="ru-RU"/>
              </w:rPr>
            </w:pPr>
            <w:r w:rsidRPr="00214EC8">
              <w:rPr>
                <w:rFonts w:eastAsia="Times New Roman"/>
                <w:sz w:val="24"/>
                <w:lang w:eastAsia="ru-RU"/>
              </w:rPr>
              <w:t>Не позднее 28 числа текущего месяца</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 xml:space="preserve">С 23 по последнее </w:t>
            </w:r>
            <w:proofErr w:type="gramStart"/>
            <w:r w:rsidRPr="00214EC8">
              <w:rPr>
                <w:rFonts w:eastAsia="Times New Roman"/>
                <w:sz w:val="24"/>
                <w:lang w:eastAsia="ru-RU"/>
              </w:rPr>
              <w:t>числе</w:t>
            </w:r>
            <w:proofErr w:type="gramEnd"/>
            <w:r w:rsidRPr="00214EC8">
              <w:rPr>
                <w:rFonts w:eastAsia="Times New Roman"/>
                <w:sz w:val="24"/>
                <w:lang w:eastAsia="ru-RU"/>
              </w:rPr>
              <w:t xml:space="preserve"> текущего месяца (кроме декабря)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3 числа следующего месяца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5 числа следующего месяца</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23 по 31 декабря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последнего рабочего дня года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последнего рабочего дня года</w:t>
            </w:r>
          </w:p>
        </w:tc>
      </w:tr>
    </w:tbl>
    <w:p w:rsidR="00214EC8" w:rsidRPr="00214EC8" w:rsidRDefault="00214EC8" w:rsidP="00214EC8">
      <w:pPr>
        <w:shd w:val="clear" w:color="auto" w:fill="FFFFFF"/>
        <w:spacing w:before="120" w:after="120"/>
        <w:ind w:firstLine="0"/>
        <w:jc w:val="left"/>
        <w:outlineLvl w:val="3"/>
        <w:rPr>
          <w:rFonts w:ascii="inherit" w:eastAsia="Times New Roman" w:hAnsi="inherit" w:cs="Arial"/>
          <w:color w:val="2A2F38"/>
          <w:sz w:val="24"/>
          <w:lang w:eastAsia="ru-RU"/>
        </w:rPr>
      </w:pPr>
      <w:r w:rsidRPr="00214EC8">
        <w:rPr>
          <w:rFonts w:ascii="inherit" w:eastAsia="Times New Roman" w:hAnsi="inherit" w:cs="Arial"/>
          <w:color w:val="2A2F38"/>
          <w:sz w:val="24"/>
          <w:lang w:eastAsia="ru-RU"/>
        </w:rPr>
        <w:t>Новые коды периодов для уведомлений по НДФЛ в 2024 году</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Помимо этого, изменились коды периодов для уведомлений по НДФЛ. Теперь они выглядят так:</w:t>
      </w:r>
    </w:p>
    <w:tbl>
      <w:tblPr>
        <w:tblW w:w="6000"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1587"/>
        <w:gridCol w:w="1746"/>
        <w:gridCol w:w="1650"/>
        <w:gridCol w:w="1017"/>
      </w:tblGrid>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b/>
                <w:bCs/>
                <w:sz w:val="24"/>
                <w:lang w:eastAsia="ru-RU"/>
              </w:rPr>
              <w:t>Период, за который удержали НДФЛ</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b/>
                <w:bCs/>
                <w:sz w:val="24"/>
                <w:lang w:eastAsia="ru-RU"/>
              </w:rPr>
              <w:t>Код периода для уведомления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b/>
                <w:bCs/>
                <w:sz w:val="24"/>
                <w:lang w:eastAsia="ru-RU"/>
              </w:rPr>
              <w:t>Срок сдачи уведомления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b/>
                <w:bCs/>
                <w:sz w:val="24"/>
                <w:lang w:eastAsia="ru-RU"/>
              </w:rPr>
              <w:t>Срок уплаты</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1 по 22 января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25 января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29 января</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23 по 31 января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5 февраля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5 февраля</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1 по 22 февраля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21/02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26 февраля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28 февраля</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23 по 29 февраля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4 марта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5 марта</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1 по 22 марта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21/03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25 марта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28 марта</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23 по 31 марта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3 апреля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5 апреля</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1 по 22 апреля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31/01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25 апреля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 мая</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23 по 30 апреля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31/11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3 мая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6 мая</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1 по 22 мая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31/02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27 мая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28 мая</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23 по 31 мая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31/12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3 июня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5 июня</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1 по 22 июня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31/03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25 июня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28 июня</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23 по 30 июня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31/13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3 июля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5 июля</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lastRenderedPageBreak/>
              <w:t>С 1 по 22 июля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33/01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25 июля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29 июля</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23 по 31 июля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33/11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5 августа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5 августа</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1 по 22 августа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33/02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26 августа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28 августа</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23 по 31 августа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33/12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3 сентября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5 сентября</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1 по 22 сентября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33/03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25 сентября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30 сентября</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23 по 30 сентября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33/13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3 октября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7 октября</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1 по 22 октября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34/01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25 октября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28 октября</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23 по 31 октября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34/11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5 ноября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5 ноября</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1 по 22 ноября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34/02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25 ноября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28 ноября</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23 по 30 ноября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34/12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3 декабря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5 декабря</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23 по 31 декабря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34/13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28 декабря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28 декабря</w:t>
            </w:r>
          </w:p>
        </w:tc>
      </w:tr>
    </w:tbl>
    <w:p w:rsidR="00214EC8" w:rsidRPr="00214EC8" w:rsidRDefault="00214EC8" w:rsidP="00214EC8">
      <w:pPr>
        <w:shd w:val="clear" w:color="auto" w:fill="FFFFFF"/>
        <w:spacing w:before="120" w:after="120"/>
        <w:ind w:firstLine="0"/>
        <w:jc w:val="left"/>
        <w:outlineLvl w:val="3"/>
        <w:rPr>
          <w:rFonts w:ascii="inherit" w:eastAsia="Times New Roman" w:hAnsi="inherit" w:cs="Arial"/>
          <w:color w:val="2A2F38"/>
          <w:sz w:val="24"/>
          <w:lang w:eastAsia="ru-RU"/>
        </w:rPr>
      </w:pPr>
      <w:r w:rsidRPr="00214EC8">
        <w:rPr>
          <w:rFonts w:ascii="inherit" w:eastAsia="Times New Roman" w:hAnsi="inherit" w:cs="Arial"/>
          <w:color w:val="2A2F38"/>
          <w:sz w:val="24"/>
          <w:lang w:eastAsia="ru-RU"/>
        </w:rPr>
        <w:t>Нулевое уведомление</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Суммы налогов и взносов, исчисленные для распределения ЕНП по платежам, у которых срок сдачи отчетности позже, чем срок уплаты, подаются в уведомлении (</w:t>
      </w:r>
      <w:hyperlink r:id="rId5" w:history="1">
        <w:r w:rsidRPr="00214EC8">
          <w:rPr>
            <w:rFonts w:ascii="Arial" w:eastAsia="Times New Roman" w:hAnsi="Arial" w:cs="Arial"/>
            <w:color w:val="02B1FF"/>
            <w:sz w:val="17"/>
            <w:u w:val="single"/>
            <w:lang w:eastAsia="ru-RU"/>
          </w:rPr>
          <w:t>п. 9 ст. 58 НК</w:t>
        </w:r>
      </w:hyperlink>
      <w:r w:rsidRPr="00214EC8">
        <w:rPr>
          <w:rFonts w:ascii="Arial" w:eastAsia="Times New Roman" w:hAnsi="Arial" w:cs="Arial"/>
          <w:color w:val="2A2F38"/>
          <w:sz w:val="17"/>
          <w:szCs w:val="17"/>
          <w:lang w:eastAsia="ru-RU"/>
        </w:rPr>
        <w:t>). Если не было начислений по налогам и взносам, то уведомление по ЕНП подавать </w:t>
      </w:r>
      <w:r w:rsidRPr="00214EC8">
        <w:rPr>
          <w:rFonts w:ascii="Arial" w:eastAsia="Times New Roman" w:hAnsi="Arial" w:cs="Arial"/>
          <w:b/>
          <w:bCs/>
          <w:color w:val="2A2F38"/>
          <w:sz w:val="17"/>
          <w:lang w:eastAsia="ru-RU"/>
        </w:rPr>
        <w:t>не требуется</w:t>
      </w:r>
      <w:r w:rsidRPr="00214EC8">
        <w:rPr>
          <w:rFonts w:ascii="Arial" w:eastAsia="Times New Roman" w:hAnsi="Arial" w:cs="Arial"/>
          <w:color w:val="2A2F38"/>
          <w:sz w:val="17"/>
          <w:szCs w:val="17"/>
          <w:lang w:eastAsia="ru-RU"/>
        </w:rPr>
        <w:t>.</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 xml:space="preserve">Нулевые уведомления об исчисленных налогах не представляются. Поэтому если в конкретном месяце у налогового агента нет выплат </w:t>
      </w:r>
      <w:proofErr w:type="spellStart"/>
      <w:r w:rsidRPr="00214EC8">
        <w:rPr>
          <w:rFonts w:ascii="Arial" w:eastAsia="Times New Roman" w:hAnsi="Arial" w:cs="Arial"/>
          <w:color w:val="2A2F38"/>
          <w:sz w:val="17"/>
          <w:szCs w:val="17"/>
          <w:lang w:eastAsia="ru-RU"/>
        </w:rPr>
        <w:t>физлицам</w:t>
      </w:r>
      <w:proofErr w:type="spellEnd"/>
      <w:r w:rsidRPr="00214EC8">
        <w:rPr>
          <w:rFonts w:ascii="Arial" w:eastAsia="Times New Roman" w:hAnsi="Arial" w:cs="Arial"/>
          <w:color w:val="2A2F38"/>
          <w:sz w:val="17"/>
          <w:szCs w:val="17"/>
          <w:lang w:eastAsia="ru-RU"/>
        </w:rPr>
        <w:t xml:space="preserve"> в период с 23 числа по последнее число месяца, то </w:t>
      </w:r>
      <w:r w:rsidRPr="00214EC8">
        <w:rPr>
          <w:rFonts w:ascii="Arial" w:eastAsia="Times New Roman" w:hAnsi="Arial" w:cs="Arial"/>
          <w:b/>
          <w:bCs/>
          <w:color w:val="2A2F38"/>
          <w:sz w:val="17"/>
          <w:lang w:eastAsia="ru-RU"/>
        </w:rPr>
        <w:t>не нужно</w:t>
      </w:r>
      <w:r w:rsidRPr="00214EC8">
        <w:rPr>
          <w:rFonts w:ascii="Arial" w:eastAsia="Times New Roman" w:hAnsi="Arial" w:cs="Arial"/>
          <w:color w:val="2A2F38"/>
          <w:sz w:val="17"/>
          <w:szCs w:val="17"/>
          <w:lang w:eastAsia="ru-RU"/>
        </w:rPr>
        <w:t> представлять уведомление по НДФЛ не позднее 3 числа следующего месяца.</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Уведомление по ЕНП с суммой «0» придется подавать только для исправления ошибок в уже сданном уведомлении. Например, неправильно указал КБК, ОКТМО или КПП. </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В новом уведомлении необходимо указать реквизиты с ошибками и в сумму вставить «0». Далее в новой строке прописать верные реквизиты и сумму. Корректировка произойдет автоматически при поступлении уведомления в налоговый орган (письмо ФНС № БС-3-11/1180@ от 31.01.2023). </w:t>
      </w:r>
    </w:p>
    <w:p w:rsidR="00214EC8" w:rsidRPr="00214EC8" w:rsidRDefault="00214EC8" w:rsidP="00214EC8">
      <w:pPr>
        <w:shd w:val="clear" w:color="auto" w:fill="FFFFFF"/>
        <w:spacing w:before="120" w:after="120"/>
        <w:ind w:firstLine="0"/>
        <w:jc w:val="left"/>
        <w:outlineLvl w:val="3"/>
        <w:rPr>
          <w:rFonts w:ascii="inherit" w:eastAsia="Times New Roman" w:hAnsi="inherit" w:cs="Arial"/>
          <w:color w:val="2A2F38"/>
          <w:sz w:val="24"/>
          <w:lang w:eastAsia="ru-RU"/>
        </w:rPr>
      </w:pPr>
      <w:r w:rsidRPr="00214EC8">
        <w:rPr>
          <w:rFonts w:ascii="inherit" w:eastAsia="Times New Roman" w:hAnsi="inherit" w:cs="Arial"/>
          <w:color w:val="2A2F38"/>
          <w:sz w:val="24"/>
          <w:lang w:eastAsia="ru-RU"/>
        </w:rPr>
        <w:t>Расхождения в декларации замедлят зачет на ЕНС</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С 1 октября 2023 года вступили в силу правила, по которым если в декларации будут обнаружены расхождения с контрольными соотношениями, то показатели отчетности будут учтены на ЕНС только после завершения камеральной проверки. Это произойдет после вступления в силу решения по проверке или в течение 10 дней после окончания срока ее проведения (</w:t>
      </w:r>
      <w:proofErr w:type="spellStart"/>
      <w:r w:rsidRPr="00214EC8">
        <w:rPr>
          <w:rFonts w:ascii="Arial" w:eastAsia="Times New Roman" w:hAnsi="Arial" w:cs="Arial"/>
          <w:color w:val="2A2F38"/>
          <w:sz w:val="17"/>
          <w:szCs w:val="17"/>
          <w:lang w:eastAsia="ru-RU"/>
        </w:rPr>
        <w:t>подп</w:t>
      </w:r>
      <w:proofErr w:type="spellEnd"/>
      <w:r w:rsidRPr="00214EC8">
        <w:rPr>
          <w:rFonts w:ascii="Arial" w:eastAsia="Times New Roman" w:hAnsi="Arial" w:cs="Arial"/>
          <w:color w:val="2A2F38"/>
          <w:sz w:val="17"/>
          <w:szCs w:val="17"/>
          <w:lang w:eastAsia="ru-RU"/>
        </w:rPr>
        <w:t>. 1 п. 5 ст. 11.3 НК в ред. Закона № 389- ФЗ).</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Новые контрольные соотношения для деклараций уже разрабатывают налоговые органы. Возможно, они будут основаны на соотношениях из </w:t>
      </w:r>
      <w:hyperlink r:id="rId6" w:history="1">
        <w:r w:rsidRPr="00214EC8">
          <w:rPr>
            <w:rFonts w:ascii="Arial" w:eastAsia="Times New Roman" w:hAnsi="Arial" w:cs="Arial"/>
            <w:color w:val="02B1FF"/>
            <w:sz w:val="17"/>
            <w:u w:val="single"/>
            <w:lang w:eastAsia="ru-RU"/>
          </w:rPr>
          <w:t>Письма ФНС России от 21.02.2023 N ЕА-4-15/2048@.</w:t>
        </w:r>
      </w:hyperlink>
    </w:p>
    <w:p w:rsidR="00214EC8" w:rsidRPr="00214EC8" w:rsidRDefault="00214EC8" w:rsidP="00214EC8">
      <w:pPr>
        <w:shd w:val="clear" w:color="auto" w:fill="FFFFFF"/>
        <w:spacing w:before="120" w:after="120"/>
        <w:ind w:firstLine="0"/>
        <w:jc w:val="left"/>
        <w:outlineLvl w:val="3"/>
        <w:rPr>
          <w:rFonts w:ascii="inherit" w:eastAsia="Times New Roman" w:hAnsi="inherit" w:cs="Arial"/>
          <w:color w:val="2A2F38"/>
          <w:sz w:val="24"/>
          <w:lang w:eastAsia="ru-RU"/>
        </w:rPr>
      </w:pPr>
      <w:r w:rsidRPr="00214EC8">
        <w:rPr>
          <w:rFonts w:ascii="inherit" w:eastAsia="Times New Roman" w:hAnsi="inherit" w:cs="Arial"/>
          <w:color w:val="2A2F38"/>
          <w:sz w:val="24"/>
          <w:lang w:eastAsia="ru-RU"/>
        </w:rPr>
        <w:t>Платежные поручения со статусом «02»</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 xml:space="preserve">С 1 января 2024 года отменены платежки с кодом «02», которые заполнялись </w:t>
      </w:r>
      <w:proofErr w:type="gramStart"/>
      <w:r w:rsidRPr="00214EC8">
        <w:rPr>
          <w:rFonts w:ascii="Arial" w:eastAsia="Times New Roman" w:hAnsi="Arial" w:cs="Arial"/>
          <w:color w:val="2A2F38"/>
          <w:sz w:val="17"/>
          <w:szCs w:val="17"/>
          <w:lang w:eastAsia="ru-RU"/>
        </w:rPr>
        <w:t>на</w:t>
      </w:r>
      <w:proofErr w:type="gramEnd"/>
      <w:r w:rsidRPr="00214EC8">
        <w:rPr>
          <w:rFonts w:ascii="Arial" w:eastAsia="Times New Roman" w:hAnsi="Arial" w:cs="Arial"/>
          <w:color w:val="2A2F38"/>
          <w:sz w:val="17"/>
          <w:szCs w:val="17"/>
          <w:lang w:eastAsia="ru-RU"/>
        </w:rPr>
        <w:t xml:space="preserve"> отдельные КБК для уплаты конкретных налогов. Всем предприятиям необходимо перейти на подачу уведомлений, так как с 1 января 2024 года подача уведомлений об исчисленных налогах, сборах и страховых взносах станет обязательной (КНД 1110355). </w:t>
      </w:r>
    </w:p>
    <w:p w:rsidR="00214EC8" w:rsidRPr="00214EC8" w:rsidRDefault="00214EC8" w:rsidP="00214EC8">
      <w:pPr>
        <w:shd w:val="clear" w:color="auto" w:fill="FFFFFF"/>
        <w:spacing w:before="120" w:after="120"/>
        <w:ind w:firstLine="0"/>
        <w:jc w:val="left"/>
        <w:outlineLvl w:val="3"/>
        <w:rPr>
          <w:rFonts w:ascii="inherit" w:eastAsia="Times New Roman" w:hAnsi="inherit" w:cs="Arial"/>
          <w:color w:val="2A2F38"/>
          <w:sz w:val="24"/>
          <w:lang w:eastAsia="ru-RU"/>
        </w:rPr>
      </w:pPr>
      <w:r w:rsidRPr="00214EC8">
        <w:rPr>
          <w:rFonts w:ascii="inherit" w:eastAsia="Times New Roman" w:hAnsi="inherit" w:cs="Arial"/>
          <w:color w:val="2A2F38"/>
          <w:sz w:val="24"/>
          <w:lang w:eastAsia="ru-RU"/>
        </w:rPr>
        <w:t>Изменения в уведомлениях с 2024 года</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В связи с отменой платежки «02» всем компаниям потребуется перейти на подачу уведомлений. Форма уведомления, порядок его заполнения и формат представления утверждены </w:t>
      </w:r>
      <w:hyperlink r:id="rId7" w:history="1">
        <w:r w:rsidRPr="00214EC8">
          <w:rPr>
            <w:rFonts w:ascii="Arial" w:eastAsia="Times New Roman" w:hAnsi="Arial" w:cs="Arial"/>
            <w:color w:val="02B1FF"/>
            <w:sz w:val="17"/>
            <w:u w:val="single"/>
            <w:lang w:eastAsia="ru-RU"/>
          </w:rPr>
          <w:t>приказом ФНС России от 02.11.2022 № ЕД-7-8/1047@</w:t>
        </w:r>
      </w:hyperlink>
      <w:r w:rsidRPr="00214EC8">
        <w:rPr>
          <w:rFonts w:ascii="Arial" w:eastAsia="Times New Roman" w:hAnsi="Arial" w:cs="Arial"/>
          <w:color w:val="2A2F38"/>
          <w:sz w:val="17"/>
          <w:szCs w:val="17"/>
          <w:lang w:eastAsia="ru-RU"/>
        </w:rPr>
        <w:t>.:</w:t>
      </w:r>
    </w:p>
    <w:tbl>
      <w:tblPr>
        <w:tblW w:w="6000"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1789"/>
        <w:gridCol w:w="1665"/>
        <w:gridCol w:w="1144"/>
        <w:gridCol w:w="1637"/>
        <w:gridCol w:w="1229"/>
      </w:tblGrid>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b/>
                <w:bCs/>
                <w:sz w:val="24"/>
                <w:lang w:eastAsia="ru-RU"/>
              </w:rPr>
              <w:t>Наименование налога (сбора)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b/>
                <w:bCs/>
                <w:sz w:val="24"/>
                <w:lang w:eastAsia="ru-RU"/>
              </w:rPr>
              <w:t>Категория плательщика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b/>
                <w:bCs/>
                <w:sz w:val="24"/>
                <w:lang w:eastAsia="ru-RU"/>
              </w:rPr>
              <w:t>Отчетный период</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b/>
                <w:bCs/>
                <w:sz w:val="24"/>
                <w:lang w:eastAsia="ru-RU"/>
              </w:rPr>
              <w:t>Срок представления уведомления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b/>
                <w:bCs/>
                <w:sz w:val="24"/>
                <w:lang w:eastAsia="ru-RU"/>
              </w:rPr>
              <w:t xml:space="preserve">Дата уплаты налога (сбора) или </w:t>
            </w:r>
            <w:r w:rsidRPr="00214EC8">
              <w:rPr>
                <w:rFonts w:eastAsia="Times New Roman"/>
                <w:b/>
                <w:bCs/>
                <w:sz w:val="24"/>
                <w:lang w:eastAsia="ru-RU"/>
              </w:rPr>
              <w:lastRenderedPageBreak/>
              <w:t>авансового платежа</w:t>
            </w:r>
          </w:p>
        </w:tc>
      </w:tr>
      <w:tr w:rsidR="00214EC8" w:rsidRPr="00214EC8" w:rsidTr="00214EC8">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lastRenderedPageBreak/>
              <w:t>Налог на прибыль</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Налоговые агенты, которые отчитываются ежеквартально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декабрь 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25.01.2024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28.02.2024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январь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26.02.2024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28.03.2024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февраль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25.03.2024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02.05.2024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март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подается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28.05.2024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апрель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27.05.2024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28.06.2024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май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25.06.2024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29.07.2024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июнь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подается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28.08.2024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июль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26.08.2024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30.09.2024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август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25.09.2024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28.10.2024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сентябрь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подается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28.11.2024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октябрь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25.11.2024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28.12.2024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ноябрь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25.12.2024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28.01.2025</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декабрь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27.01.2025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 </w:t>
            </w:r>
          </w:p>
        </w:tc>
      </w:tr>
      <w:tr w:rsidR="00214EC8" w:rsidRPr="00214EC8" w:rsidTr="00214EC8">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 xml:space="preserve">Страховые взносы на ОПС, ОМС и ОСС (на случай временной </w:t>
            </w:r>
            <w:proofErr w:type="gramStart"/>
            <w:r w:rsidRPr="00214EC8">
              <w:rPr>
                <w:rFonts w:eastAsia="Times New Roman"/>
                <w:sz w:val="24"/>
                <w:lang w:eastAsia="ru-RU"/>
              </w:rPr>
              <w:t xml:space="preserve">нетрудоспособно </w:t>
            </w:r>
            <w:proofErr w:type="spellStart"/>
            <w:r w:rsidRPr="00214EC8">
              <w:rPr>
                <w:rFonts w:eastAsia="Times New Roman"/>
                <w:sz w:val="24"/>
                <w:lang w:eastAsia="ru-RU"/>
              </w:rPr>
              <w:t>сти</w:t>
            </w:r>
            <w:proofErr w:type="spellEnd"/>
            <w:proofErr w:type="gramEnd"/>
            <w:r w:rsidRPr="00214EC8">
              <w:rPr>
                <w:rFonts w:eastAsia="Times New Roman"/>
                <w:sz w:val="24"/>
                <w:lang w:eastAsia="ru-RU"/>
              </w:rPr>
              <w:t xml:space="preserve"> и в связи с материнством)</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Организации и ИП, производящие выплаты и иные вознаграждения в пользу физических лиц</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январь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26.02.2024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28.02.2024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февраль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25.03.2024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28.03.2024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март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подается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02.05.2024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апрель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27.05.2024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28.05.2024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май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25.06.2024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28.06.2024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июнь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подается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29.07.2024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июль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26.08.2024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28.08.2024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август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25.09.2024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30.09.2024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сентябрь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подается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28.10.2024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октябрь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25.11.2024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28.11.2024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 xml:space="preserve">ноябрь </w:t>
            </w:r>
            <w:r w:rsidRPr="00214EC8">
              <w:rPr>
                <w:rFonts w:eastAsia="Times New Roman"/>
                <w:sz w:val="24"/>
                <w:lang w:eastAsia="ru-RU"/>
              </w:rPr>
              <w:lastRenderedPageBreak/>
              <w:t>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lastRenderedPageBreak/>
              <w:t xml:space="preserve">не позднее </w:t>
            </w:r>
            <w:r w:rsidRPr="00214EC8">
              <w:rPr>
                <w:rFonts w:eastAsia="Times New Roman"/>
                <w:sz w:val="24"/>
                <w:lang w:eastAsia="ru-RU"/>
              </w:rPr>
              <w:lastRenderedPageBreak/>
              <w:t>25.12.2024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lastRenderedPageBreak/>
              <w:t xml:space="preserve">не позднее </w:t>
            </w:r>
            <w:r w:rsidRPr="00214EC8">
              <w:rPr>
                <w:rFonts w:eastAsia="Times New Roman"/>
                <w:sz w:val="24"/>
                <w:lang w:eastAsia="ru-RU"/>
              </w:rPr>
              <w:lastRenderedPageBreak/>
              <w:t>28.12.2024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декабрь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подается</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28.01.2025</w:t>
            </w:r>
          </w:p>
        </w:tc>
      </w:tr>
      <w:tr w:rsidR="00214EC8" w:rsidRPr="00214EC8" w:rsidTr="00214EC8">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Налог на имущество организаций</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2023 год</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26.02.2025</w:t>
            </w:r>
            <w:r w:rsidRPr="00214EC8">
              <w:rPr>
                <w:rFonts w:eastAsia="Times New Roman"/>
                <w:b/>
                <w:bCs/>
                <w:sz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28.02.2024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I квартал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25.04.2024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02.05.2024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полугодие (II квартал)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25.07.2024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29.07.2024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9 месяцев (III квартал)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25.10.2024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28.10.2024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2024 год</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25.02.2025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28.02.2025</w:t>
            </w:r>
          </w:p>
        </w:tc>
      </w:tr>
      <w:tr w:rsidR="00214EC8" w:rsidRPr="00214EC8" w:rsidTr="00214EC8">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Транспортный налог</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2023 год</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26.02.2024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28.02.2024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I квартал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25.04.2024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02.05.2024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II квартал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25.07.2024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29.07.2024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III квартал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25.10.2024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28.10.2024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2024 год</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25.02.2025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28.02.2025</w:t>
            </w:r>
          </w:p>
        </w:tc>
      </w:tr>
      <w:tr w:rsidR="00214EC8" w:rsidRPr="00214EC8" w:rsidTr="00214EC8">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Земельный налог</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2023 год</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26.02.2024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28.02.2024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I квартал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25.04.2024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02.05.2024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II квартал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25.07.2024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29.07.2024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II квартал 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25.10.2024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28.10.2024</w:t>
            </w:r>
          </w:p>
        </w:tc>
      </w:tr>
      <w:tr w:rsidR="00214EC8" w:rsidRPr="00214EC8" w:rsidTr="00214EC8">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14EC8" w:rsidRPr="00214EC8" w:rsidRDefault="00214EC8" w:rsidP="00214EC8">
            <w:pPr>
              <w:ind w:firstLine="0"/>
              <w:jc w:val="left"/>
              <w:rPr>
                <w:rFonts w:eastAsia="Times New Roman"/>
                <w:sz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2024 год</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25.02.2025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не позднее 28.02.2025</w:t>
            </w:r>
          </w:p>
        </w:tc>
      </w:tr>
    </w:tbl>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i/>
          <w:iCs/>
          <w:color w:val="2A2F38"/>
          <w:sz w:val="17"/>
          <w:lang w:eastAsia="ru-RU"/>
        </w:rPr>
        <w:t>* — уведомление об исчисленной сумме налога на имущество организаций за год подается только в отношении объектов, налог по которым исчисляется исходя из их кадастровой стоимости. По объектам, которые облагаются налогом на имущество исходя из среднегодовой стоимости, а также по объектам плательщиков – иностранных организаций, облагаемых налогом исходя из кадастровой стоимости, сумма налога отражается в декларации (</w:t>
      </w:r>
      <w:hyperlink r:id="rId8" w:history="1">
        <w:r w:rsidRPr="00214EC8">
          <w:rPr>
            <w:rFonts w:ascii="Arial" w:eastAsia="Times New Roman" w:hAnsi="Arial" w:cs="Arial"/>
            <w:i/>
            <w:iCs/>
            <w:color w:val="02B1FF"/>
            <w:sz w:val="17"/>
            <w:u w:val="single"/>
            <w:lang w:eastAsia="ru-RU"/>
          </w:rPr>
          <w:t>письмо ФНС России от 17.10.2023 № БС-4-21/13243@</w:t>
        </w:r>
      </w:hyperlink>
      <w:r w:rsidRPr="00214EC8">
        <w:rPr>
          <w:rFonts w:ascii="Arial" w:eastAsia="Times New Roman" w:hAnsi="Arial" w:cs="Arial"/>
          <w:i/>
          <w:iCs/>
          <w:color w:val="2A2F38"/>
          <w:sz w:val="17"/>
          <w:lang w:eastAsia="ru-RU"/>
        </w:rPr>
        <w:t>)</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С 1 октября 2023 года действует правило, согласно которому если на момент предоставления уведомления или расчета по взносам сальдо ЕНС положительное, то суммы зачитываются в счет взносов уже в тот же или на следующий день. Обязанность по уплате инспекторы посчитают исполненной. </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Также согласно новым правилам, при нарушении контрольных соотношений уведомление не примут. Но для этого ФНС должна утвердить новые контрольные соотношения отдельным приказом. Пока действуют рекомендованные контрольные соотношения, приведенные в </w:t>
      </w:r>
      <w:hyperlink r:id="rId9" w:anchor="friends" w:history="1">
        <w:r w:rsidRPr="00214EC8">
          <w:rPr>
            <w:rFonts w:ascii="Arial" w:eastAsia="Times New Roman" w:hAnsi="Arial" w:cs="Arial"/>
            <w:color w:val="02B1FF"/>
            <w:sz w:val="17"/>
            <w:u w:val="single"/>
            <w:lang w:eastAsia="ru-RU"/>
          </w:rPr>
          <w:t>письме ФНС России от 29.11.2023 N ЕА-4-15/14981@</w:t>
        </w:r>
      </w:hyperlink>
      <w:r w:rsidRPr="00214EC8">
        <w:rPr>
          <w:rFonts w:ascii="Arial" w:eastAsia="Times New Roman" w:hAnsi="Arial" w:cs="Arial"/>
          <w:color w:val="2A2F38"/>
          <w:sz w:val="17"/>
          <w:szCs w:val="17"/>
          <w:lang w:eastAsia="ru-RU"/>
        </w:rPr>
        <w:t>. Контрольные соотношения включают в себя:</w:t>
      </w:r>
    </w:p>
    <w:p w:rsidR="00214EC8" w:rsidRPr="00214EC8" w:rsidRDefault="00214EC8" w:rsidP="00214EC8">
      <w:pPr>
        <w:numPr>
          <w:ilvl w:val="0"/>
          <w:numId w:val="1"/>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проверку периода в уведомлении в зависимости от указанного КБК;</w:t>
      </w:r>
    </w:p>
    <w:p w:rsidR="00214EC8" w:rsidRPr="00214EC8" w:rsidRDefault="00214EC8" w:rsidP="00214EC8">
      <w:pPr>
        <w:numPr>
          <w:ilvl w:val="0"/>
          <w:numId w:val="1"/>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проверку заполнения ОКТМО и КБК;</w:t>
      </w:r>
    </w:p>
    <w:p w:rsidR="00214EC8" w:rsidRPr="00214EC8" w:rsidRDefault="00214EC8" w:rsidP="00214EC8">
      <w:pPr>
        <w:numPr>
          <w:ilvl w:val="0"/>
          <w:numId w:val="1"/>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проверку на ошибки в уточненном уведомлении.</w:t>
      </w:r>
    </w:p>
    <w:p w:rsidR="00214EC8" w:rsidRPr="00214EC8" w:rsidRDefault="00214EC8" w:rsidP="00214EC8">
      <w:pPr>
        <w:shd w:val="clear" w:color="auto" w:fill="FFFFFF"/>
        <w:spacing w:before="120" w:after="120"/>
        <w:ind w:firstLine="0"/>
        <w:jc w:val="left"/>
        <w:outlineLvl w:val="3"/>
        <w:rPr>
          <w:rFonts w:ascii="inherit" w:eastAsia="Times New Roman" w:hAnsi="inherit" w:cs="Arial"/>
          <w:color w:val="2A2F38"/>
          <w:sz w:val="24"/>
          <w:lang w:eastAsia="ru-RU"/>
        </w:rPr>
      </w:pPr>
      <w:r w:rsidRPr="00214EC8">
        <w:rPr>
          <w:rFonts w:ascii="inherit" w:eastAsia="Times New Roman" w:hAnsi="inherit" w:cs="Arial"/>
          <w:color w:val="2A2F38"/>
          <w:sz w:val="24"/>
          <w:lang w:eastAsia="ru-RU"/>
        </w:rPr>
        <w:lastRenderedPageBreak/>
        <w:t>Исправление ошибок в уведомлении</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Исправить ошибок зависит от их характера. Если вы не указали или указали несуществующие обязательные реквизиты КБК, ОКТМО, КПП, «период» или «сумма», то подать новое уведомление с корректными реквизитами. Иначе уведомление не пройдет контроль и не будет принято налоговым органом, а также обязанность по уплате налога не будет исполнена в связи с отсутствием начислений. </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Если вы указали неверные реквизиты КБК, ОКТМО, КПП, «период» или «сумма», то у вас сформируется начисление с неверными реквизитами, с последующим его погашением из ЕНП. Чтобы этого не произошло, нужно, обнулить старое уведомление (об этом мы писали выше) и подать новое с верными реквизитами. </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 xml:space="preserve">Если ошибка связана тем, что уточненное уведомление сдано на разницу, а не на полную сумму, то необходимо  подать новую уведомление на полную сумму. В другом случае </w:t>
      </w:r>
      <w:proofErr w:type="gramStart"/>
      <w:r w:rsidRPr="00214EC8">
        <w:rPr>
          <w:rFonts w:ascii="Arial" w:eastAsia="Times New Roman" w:hAnsi="Arial" w:cs="Arial"/>
          <w:color w:val="2A2F38"/>
          <w:sz w:val="17"/>
          <w:szCs w:val="17"/>
          <w:lang w:eastAsia="ru-RU"/>
        </w:rPr>
        <w:t>сформируется начисление с неверными суммами и налог не</w:t>
      </w:r>
      <w:proofErr w:type="gramEnd"/>
      <w:r w:rsidRPr="00214EC8">
        <w:rPr>
          <w:rFonts w:ascii="Arial" w:eastAsia="Times New Roman" w:hAnsi="Arial" w:cs="Arial"/>
          <w:color w:val="2A2F38"/>
          <w:sz w:val="17"/>
          <w:szCs w:val="17"/>
          <w:lang w:eastAsia="ru-RU"/>
        </w:rPr>
        <w:t xml:space="preserve"> будет считаться оплаченным. </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До 31 декабря 2024 года продолжает действовать мораторий на начисление пеней (Постановление Правительства РФ №500 от 29.03.2023). Однако действует он только в случае положительного сальдо. Напомним, что пени насчитываются в случае:</w:t>
      </w:r>
    </w:p>
    <w:p w:rsidR="00214EC8" w:rsidRPr="00214EC8" w:rsidRDefault="00214EC8" w:rsidP="00214EC8">
      <w:pPr>
        <w:numPr>
          <w:ilvl w:val="0"/>
          <w:numId w:val="2"/>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Несвоевременной подачи (неподачи) Уведомления;</w:t>
      </w:r>
    </w:p>
    <w:p w:rsidR="00214EC8" w:rsidRPr="00214EC8" w:rsidRDefault="00214EC8" w:rsidP="00214EC8">
      <w:pPr>
        <w:numPr>
          <w:ilvl w:val="0"/>
          <w:numId w:val="2"/>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Ошибок в Уведомлении, не позволивших правильно отразить налоговую обязанность (ОКТМО, КБК, период);</w:t>
      </w:r>
    </w:p>
    <w:p w:rsidR="00214EC8" w:rsidRPr="00214EC8" w:rsidRDefault="00214EC8" w:rsidP="00214EC8">
      <w:pPr>
        <w:numPr>
          <w:ilvl w:val="0"/>
          <w:numId w:val="2"/>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Если в Уведомлении указана заниженная сумма (сумма в Уведомлении меньше той, которая должна быть уплачена по закону). </w:t>
      </w:r>
    </w:p>
    <w:p w:rsidR="00214EC8" w:rsidRPr="00214EC8" w:rsidRDefault="00214EC8" w:rsidP="00214EC8">
      <w:pPr>
        <w:shd w:val="clear" w:color="auto" w:fill="FFFFFF"/>
        <w:spacing w:before="120" w:after="120"/>
        <w:ind w:firstLine="0"/>
        <w:jc w:val="left"/>
        <w:outlineLvl w:val="3"/>
        <w:rPr>
          <w:rFonts w:ascii="inherit" w:eastAsia="Times New Roman" w:hAnsi="inherit" w:cs="Arial"/>
          <w:color w:val="2A2F38"/>
          <w:sz w:val="24"/>
          <w:lang w:eastAsia="ru-RU"/>
        </w:rPr>
      </w:pPr>
      <w:r w:rsidRPr="00214EC8">
        <w:rPr>
          <w:rFonts w:ascii="inherit" w:eastAsia="Times New Roman" w:hAnsi="inherit" w:cs="Arial"/>
          <w:color w:val="2A2F38"/>
          <w:sz w:val="24"/>
          <w:lang w:eastAsia="ru-RU"/>
        </w:rPr>
        <w:t>Уточненные декларации</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В письме </w:t>
      </w:r>
      <w:hyperlink r:id="rId10" w:history="1">
        <w:r w:rsidRPr="00214EC8">
          <w:rPr>
            <w:rFonts w:ascii="Arial" w:eastAsia="Times New Roman" w:hAnsi="Arial" w:cs="Arial"/>
            <w:color w:val="02B1FF"/>
            <w:sz w:val="17"/>
            <w:u w:val="single"/>
            <w:lang w:eastAsia="ru-RU"/>
          </w:rPr>
          <w:t>№БВ-4-7/16343@ от 27.12.2023 ФНС Росси</w:t>
        </w:r>
      </w:hyperlink>
      <w:r w:rsidRPr="00214EC8">
        <w:rPr>
          <w:rFonts w:ascii="Arial" w:eastAsia="Times New Roman" w:hAnsi="Arial" w:cs="Arial"/>
          <w:color w:val="2A2F38"/>
          <w:sz w:val="17"/>
          <w:szCs w:val="17"/>
          <w:lang w:eastAsia="ru-RU"/>
        </w:rPr>
        <w:t>и дала информацию по уточненным декларациям. По уточненной декларации к доплате штрафа не будет, если к моменту сдачи декларации будет обеспечено положительное сальдо ЕНС в достаточном для погашения недоимки и пеней размере. В этом случае никаких уведомлений не требуется.</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В случае с уточненной декларацией, то к уменьшению на сумму к уменьшению увеличивается сальдо ЕНС после завершения камеральной проверки уточненной декларации. Уведомления также не требуются. Уточненная декларация к уменьшению может быть сдана, если со дня истечения срока уплаты налога прошло не более 3 лет. </w:t>
      </w:r>
    </w:p>
    <w:p w:rsidR="00214EC8" w:rsidRPr="00214EC8" w:rsidRDefault="00214EC8" w:rsidP="00214EC8">
      <w:pPr>
        <w:shd w:val="clear" w:color="auto" w:fill="FFFFFF"/>
        <w:spacing w:before="120" w:after="120"/>
        <w:ind w:firstLine="0"/>
        <w:jc w:val="left"/>
        <w:outlineLvl w:val="3"/>
        <w:rPr>
          <w:rFonts w:ascii="inherit" w:eastAsia="Times New Roman" w:hAnsi="inherit" w:cs="Arial"/>
          <w:color w:val="2A2F38"/>
          <w:sz w:val="24"/>
          <w:lang w:eastAsia="ru-RU"/>
        </w:rPr>
      </w:pPr>
      <w:r w:rsidRPr="00214EC8">
        <w:rPr>
          <w:rFonts w:ascii="inherit" w:eastAsia="Times New Roman" w:hAnsi="inherit" w:cs="Arial"/>
          <w:color w:val="2A2F38"/>
          <w:sz w:val="24"/>
          <w:lang w:eastAsia="ru-RU"/>
        </w:rPr>
        <w:t>Заполнение 6-НДФЛ</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При заполнении раздела 2 необходимо учитывать новые даты получения доходов и не привязываться к срокам уплаты налога. В этом разделе нужно заполнить выплаты нарастающим итогом с начала года, включая доходы, вычеты и исчисленный и удержанный налог за 2 квартал (с 1 января по 30 июня). Отличие от предыдущих правил заключается лишь в том, какие выплаты и налоги попадут в отчетность.</w:t>
      </w:r>
      <w:r w:rsidRPr="00214EC8">
        <w:rPr>
          <w:rFonts w:ascii="Arial" w:eastAsia="Times New Roman" w:hAnsi="Arial" w:cs="Arial"/>
          <w:color w:val="2A2F38"/>
          <w:sz w:val="17"/>
          <w:szCs w:val="17"/>
          <w:lang w:eastAsia="ru-RU"/>
        </w:rPr>
        <w:br/>
      </w:r>
      <w:r w:rsidRPr="00214EC8">
        <w:rPr>
          <w:rFonts w:ascii="Arial" w:eastAsia="Times New Roman" w:hAnsi="Arial" w:cs="Arial"/>
          <w:color w:val="2A2F38"/>
          <w:sz w:val="17"/>
          <w:szCs w:val="17"/>
          <w:lang w:eastAsia="ru-RU"/>
        </w:rPr>
        <w:br/>
        <w:t>Важно учитывать, что с 1 января датой получения дохода в виде зарплаты считается день, когда компания выдала деньги сотрудникам. Начисленную, но не выданную зарплату в отчет больше включать не нужно. Также необходимо включить в расчет за 2 квартал только ту часть зарплаты за июнь, которую успели выдать в июне. Вторая часть, которую будет выплачена в июле, попадет в отчетность за 9 месяцев.</w:t>
      </w:r>
      <w:r w:rsidRPr="00214EC8">
        <w:rPr>
          <w:rFonts w:ascii="Arial" w:eastAsia="Times New Roman" w:hAnsi="Arial" w:cs="Arial"/>
          <w:color w:val="2A2F38"/>
          <w:sz w:val="17"/>
          <w:szCs w:val="17"/>
          <w:lang w:eastAsia="ru-RU"/>
        </w:rPr>
        <w:br/>
      </w:r>
      <w:r w:rsidRPr="00214EC8">
        <w:rPr>
          <w:rFonts w:ascii="Arial" w:eastAsia="Times New Roman" w:hAnsi="Arial" w:cs="Arial"/>
          <w:color w:val="2A2F38"/>
          <w:sz w:val="17"/>
          <w:szCs w:val="17"/>
          <w:lang w:eastAsia="ru-RU"/>
        </w:rPr>
        <w:br/>
        <w:t xml:space="preserve">Необходимо также обратить внимание, что строка 020 раздела 1 и строка 160 раздела 2 отчета не сравниваются между собой. Строка 020 включает НДФЛ, </w:t>
      </w:r>
      <w:proofErr w:type="gramStart"/>
      <w:r w:rsidRPr="00214EC8">
        <w:rPr>
          <w:rFonts w:ascii="Arial" w:eastAsia="Times New Roman" w:hAnsi="Arial" w:cs="Arial"/>
          <w:color w:val="2A2F38"/>
          <w:sz w:val="17"/>
          <w:szCs w:val="17"/>
          <w:lang w:eastAsia="ru-RU"/>
        </w:rPr>
        <w:t>который</w:t>
      </w:r>
      <w:proofErr w:type="gramEnd"/>
      <w:r w:rsidRPr="00214EC8">
        <w:rPr>
          <w:rFonts w:ascii="Arial" w:eastAsia="Times New Roman" w:hAnsi="Arial" w:cs="Arial"/>
          <w:color w:val="2A2F38"/>
          <w:sz w:val="17"/>
          <w:szCs w:val="17"/>
          <w:lang w:eastAsia="ru-RU"/>
        </w:rPr>
        <w:t xml:space="preserve"> удержан по 31 декабря, а строка 160 - по 31 декабря (согласно письму ФНС от 11.04.2023 N БС-4-11/4420@).</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В расчете 6-НДФЛ необходимо отразить данные по следующим периодам:</w:t>
      </w:r>
    </w:p>
    <w:tbl>
      <w:tblPr>
        <w:tblW w:w="6000"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1125"/>
        <w:gridCol w:w="2648"/>
        <w:gridCol w:w="2227"/>
      </w:tblGrid>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b/>
                <w:bCs/>
                <w:sz w:val="24"/>
                <w:lang w:eastAsia="ru-RU"/>
              </w:rPr>
              <w:t>Период</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b/>
                <w:bCs/>
                <w:sz w:val="24"/>
                <w:lang w:eastAsia="ru-RU"/>
              </w:rPr>
              <w:t>Раздел 1 (п.2 ст. 230 НК)</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b/>
                <w:bCs/>
                <w:sz w:val="24"/>
                <w:lang w:eastAsia="ru-RU"/>
              </w:rPr>
              <w:t>Раздел 2</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I квартал</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01.01 по 22.03.2023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1.01 по 31.03.2023</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Полугодие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23.03 по 22.06.2023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01.01 по 30.06.2023</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9 месяцев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23.06 по 22.09.2023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01.01 по 30.09.2023</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Год</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23.09 по 31.12.2023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С 01.01 по 31.12.2023</w:t>
            </w:r>
          </w:p>
        </w:tc>
      </w:tr>
    </w:tbl>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b/>
          <w:bCs/>
          <w:color w:val="2A2F38"/>
          <w:sz w:val="17"/>
          <w:lang w:eastAsia="ru-RU"/>
        </w:rPr>
        <w:t>Важно!</w:t>
      </w:r>
      <w:r w:rsidRPr="00214EC8">
        <w:rPr>
          <w:rFonts w:ascii="Arial" w:eastAsia="Times New Roman" w:hAnsi="Arial" w:cs="Arial"/>
          <w:color w:val="2A2F38"/>
          <w:sz w:val="17"/>
          <w:szCs w:val="17"/>
          <w:lang w:eastAsia="ru-RU"/>
        </w:rPr>
        <w:t> Дата получения дохода — день выплаты денег (</w:t>
      </w:r>
      <w:proofErr w:type="spellStart"/>
      <w:r w:rsidRPr="00214EC8">
        <w:rPr>
          <w:rFonts w:ascii="Arial" w:eastAsia="Times New Roman" w:hAnsi="Arial" w:cs="Arial"/>
          <w:color w:val="2A2F38"/>
          <w:sz w:val="17"/>
          <w:szCs w:val="17"/>
          <w:lang w:eastAsia="ru-RU"/>
        </w:rPr>
        <w:t>пп</w:t>
      </w:r>
      <w:proofErr w:type="spellEnd"/>
      <w:r w:rsidRPr="00214EC8">
        <w:rPr>
          <w:rFonts w:ascii="Arial" w:eastAsia="Times New Roman" w:hAnsi="Arial" w:cs="Arial"/>
          <w:color w:val="2A2F38"/>
          <w:sz w:val="17"/>
          <w:szCs w:val="17"/>
          <w:lang w:eastAsia="ru-RU"/>
        </w:rPr>
        <w:t xml:space="preserve">. 1 п.1 ст. 223 НК). Поэтому начисленные, но не выплаченные суммы не </w:t>
      </w:r>
      <w:proofErr w:type="gramStart"/>
      <w:r w:rsidRPr="00214EC8">
        <w:rPr>
          <w:rFonts w:ascii="Arial" w:eastAsia="Times New Roman" w:hAnsi="Arial" w:cs="Arial"/>
          <w:color w:val="2A2F38"/>
          <w:sz w:val="17"/>
          <w:szCs w:val="17"/>
          <w:lang w:eastAsia="ru-RU"/>
        </w:rPr>
        <w:t>признаются полученными и не включается</w:t>
      </w:r>
      <w:proofErr w:type="gramEnd"/>
      <w:r w:rsidRPr="00214EC8">
        <w:rPr>
          <w:rFonts w:ascii="Arial" w:eastAsia="Times New Roman" w:hAnsi="Arial" w:cs="Arial"/>
          <w:color w:val="2A2F38"/>
          <w:sz w:val="17"/>
          <w:szCs w:val="17"/>
          <w:lang w:eastAsia="ru-RU"/>
        </w:rPr>
        <w:t xml:space="preserve"> в налоговую базу по НДФЛ. Соответственно, в 6-НДФЛ не отражаются до выплаты.</w:t>
      </w:r>
    </w:p>
    <w:p w:rsidR="00214EC8" w:rsidRPr="00214EC8" w:rsidRDefault="00214EC8" w:rsidP="00214EC8">
      <w:pPr>
        <w:shd w:val="clear" w:color="auto" w:fill="FFFFFF"/>
        <w:spacing w:before="120" w:after="120"/>
        <w:ind w:firstLine="0"/>
        <w:jc w:val="left"/>
        <w:outlineLvl w:val="3"/>
        <w:rPr>
          <w:rFonts w:ascii="inherit" w:eastAsia="Times New Roman" w:hAnsi="inherit" w:cs="Arial"/>
          <w:color w:val="2A2F38"/>
          <w:sz w:val="24"/>
          <w:lang w:eastAsia="ru-RU"/>
        </w:rPr>
      </w:pPr>
      <w:r w:rsidRPr="00214EC8">
        <w:rPr>
          <w:rFonts w:ascii="inherit" w:eastAsia="Times New Roman" w:hAnsi="inherit" w:cs="Arial"/>
          <w:color w:val="2A2F38"/>
          <w:sz w:val="24"/>
          <w:lang w:eastAsia="ru-RU"/>
        </w:rPr>
        <w:t>Декларация 3-НДФЛ</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proofErr w:type="gramStart"/>
      <w:r w:rsidRPr="00214EC8">
        <w:rPr>
          <w:rFonts w:ascii="Arial" w:eastAsia="Times New Roman" w:hAnsi="Arial" w:cs="Arial"/>
          <w:color w:val="2A2F38"/>
          <w:sz w:val="17"/>
          <w:szCs w:val="17"/>
          <w:lang w:eastAsia="ru-RU"/>
        </w:rPr>
        <w:t>C 01.01.2024 года для отчетности за 2023 год вступила в силу обновленная форма декларации 3-НДФЛ в соответствии с приказом </w:t>
      </w:r>
      <w:hyperlink r:id="rId11" w:history="1">
        <w:r w:rsidRPr="00214EC8">
          <w:rPr>
            <w:rFonts w:ascii="Arial" w:eastAsia="Times New Roman" w:hAnsi="Arial" w:cs="Arial"/>
            <w:color w:val="02B1FF"/>
            <w:sz w:val="17"/>
            <w:u w:val="single"/>
            <w:lang w:eastAsia="ru-RU"/>
          </w:rPr>
          <w:t>ФНС России от 11.09.2023 № ЕД-7-11/615@</w:t>
        </w:r>
      </w:hyperlink>
      <w:r w:rsidRPr="00214EC8">
        <w:rPr>
          <w:rFonts w:ascii="Arial" w:eastAsia="Times New Roman" w:hAnsi="Arial" w:cs="Arial"/>
          <w:color w:val="2A2F38"/>
          <w:sz w:val="17"/>
          <w:szCs w:val="17"/>
          <w:lang w:eastAsia="ru-RU"/>
        </w:rPr>
        <w:t>. В новой декларации появилось требование указывать сумму стандартного налогового вычета по строкам 050 и 060 на каждого ребенка или подопечного, признанных судом недееспособными, независимо от их возраста.</w:t>
      </w:r>
      <w:proofErr w:type="gramEnd"/>
      <w:r w:rsidRPr="00214EC8">
        <w:rPr>
          <w:rFonts w:ascii="Arial" w:eastAsia="Times New Roman" w:hAnsi="Arial" w:cs="Arial"/>
          <w:color w:val="2A2F38"/>
          <w:sz w:val="17"/>
          <w:szCs w:val="17"/>
          <w:lang w:eastAsia="ru-RU"/>
        </w:rPr>
        <w:t xml:space="preserve"> Кроме того, в Приложении №6 добавлена строка 155, которую налогоплательщики должны заполнить в случае получения доходов при продаже и погашении имущественных прав. В этой строке необходимо указать сумму документально подтвержденных расходов, принимаемых к вычету, но не более суммы полученного дохода.</w:t>
      </w:r>
      <w:r w:rsidRPr="00214EC8">
        <w:rPr>
          <w:rFonts w:ascii="Arial" w:eastAsia="Times New Roman" w:hAnsi="Arial" w:cs="Arial"/>
          <w:color w:val="2A2F38"/>
          <w:sz w:val="17"/>
          <w:szCs w:val="17"/>
          <w:lang w:eastAsia="ru-RU"/>
        </w:rPr>
        <w:br/>
      </w:r>
      <w:r w:rsidRPr="00214EC8">
        <w:rPr>
          <w:rFonts w:ascii="Arial" w:eastAsia="Times New Roman" w:hAnsi="Arial" w:cs="Arial"/>
          <w:color w:val="2A2F38"/>
          <w:sz w:val="17"/>
          <w:szCs w:val="17"/>
          <w:lang w:eastAsia="ru-RU"/>
        </w:rPr>
        <w:br/>
      </w:r>
      <w:r w:rsidRPr="00214EC8">
        <w:rPr>
          <w:rFonts w:ascii="Arial" w:eastAsia="Times New Roman" w:hAnsi="Arial" w:cs="Arial"/>
          <w:color w:val="2A2F38"/>
          <w:sz w:val="17"/>
          <w:szCs w:val="17"/>
          <w:lang w:eastAsia="ru-RU"/>
        </w:rPr>
        <w:lastRenderedPageBreak/>
        <w:t>Также в Приложении №7 появились новые коды операций (37 и 38) для указания расходов и вычетов по операциям с ценными бумагами, производными финансовыми инструментами, а также доходов от участия в инвестиционных товариществах.</w:t>
      </w:r>
    </w:p>
    <w:p w:rsidR="00214EC8" w:rsidRPr="00214EC8" w:rsidRDefault="00214EC8" w:rsidP="00214EC8">
      <w:pPr>
        <w:shd w:val="clear" w:color="auto" w:fill="FFFFFF"/>
        <w:spacing w:before="120" w:after="120"/>
        <w:ind w:firstLine="0"/>
        <w:jc w:val="left"/>
        <w:outlineLvl w:val="3"/>
        <w:rPr>
          <w:rFonts w:ascii="inherit" w:eastAsia="Times New Roman" w:hAnsi="inherit" w:cs="Arial"/>
          <w:color w:val="2A2F38"/>
          <w:sz w:val="24"/>
          <w:lang w:eastAsia="ru-RU"/>
        </w:rPr>
      </w:pPr>
      <w:r w:rsidRPr="00214EC8">
        <w:rPr>
          <w:rFonts w:ascii="inherit" w:eastAsia="Times New Roman" w:hAnsi="inherit" w:cs="Arial"/>
          <w:color w:val="2A2F38"/>
          <w:sz w:val="24"/>
          <w:lang w:eastAsia="ru-RU"/>
        </w:rPr>
        <w:t>Освобожденные от НДФЛ доходы</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С 01.01.2024 года в соответствии с Законом № 389-ФЗ суточные при разъездной работе и надбавки за вахтовый метод работы освобождаются от налогообложения НДФЛ. Указанные выплаты освобождаются от НДФЛ в пределах не более 700 рублей за каждый день выполнения указанной работы на территории РФ и не более 2 500 рублей за каждый день работы за пределами РФ.</w:t>
      </w:r>
      <w:r w:rsidRPr="00214EC8">
        <w:rPr>
          <w:rFonts w:ascii="Arial" w:eastAsia="Times New Roman" w:hAnsi="Arial" w:cs="Arial"/>
          <w:color w:val="2A2F38"/>
          <w:sz w:val="17"/>
          <w:szCs w:val="17"/>
          <w:lang w:eastAsia="ru-RU"/>
        </w:rPr>
        <w:br/>
      </w:r>
      <w:r w:rsidRPr="00214EC8">
        <w:rPr>
          <w:rFonts w:ascii="Arial" w:eastAsia="Times New Roman" w:hAnsi="Arial" w:cs="Arial"/>
          <w:color w:val="2A2F38"/>
          <w:sz w:val="17"/>
          <w:szCs w:val="17"/>
          <w:lang w:eastAsia="ru-RU"/>
        </w:rPr>
        <w:br/>
        <w:t xml:space="preserve">Также с 01.01.2024 года в соответствии с Федеральным законом от 02.11.2023 № 523-ФЗ не требуется уплачивать НДФЛ при безвозмездном получении прав на результаты интеллектуальной деятельности (РИД), полученные в рамках исполнения государственных контрактов. От НДФЛ освобождаются доходы в виде исключительных прав </w:t>
      </w:r>
      <w:proofErr w:type="gramStart"/>
      <w:r w:rsidRPr="00214EC8">
        <w:rPr>
          <w:rFonts w:ascii="Arial" w:eastAsia="Times New Roman" w:hAnsi="Arial" w:cs="Arial"/>
          <w:color w:val="2A2F38"/>
          <w:sz w:val="17"/>
          <w:szCs w:val="17"/>
          <w:lang w:eastAsia="ru-RU"/>
        </w:rPr>
        <w:t>на</w:t>
      </w:r>
      <w:proofErr w:type="gramEnd"/>
      <w:r w:rsidRPr="00214EC8">
        <w:rPr>
          <w:rFonts w:ascii="Arial" w:eastAsia="Times New Roman" w:hAnsi="Arial" w:cs="Arial"/>
          <w:color w:val="2A2F38"/>
          <w:sz w:val="17"/>
          <w:szCs w:val="17"/>
          <w:lang w:eastAsia="ru-RU"/>
        </w:rPr>
        <w:t xml:space="preserve"> </w:t>
      </w:r>
      <w:proofErr w:type="gramStart"/>
      <w:r w:rsidRPr="00214EC8">
        <w:rPr>
          <w:rFonts w:ascii="Arial" w:eastAsia="Times New Roman" w:hAnsi="Arial" w:cs="Arial"/>
          <w:color w:val="2A2F38"/>
          <w:sz w:val="17"/>
          <w:szCs w:val="17"/>
          <w:lang w:eastAsia="ru-RU"/>
        </w:rPr>
        <w:t>РИД</w:t>
      </w:r>
      <w:proofErr w:type="gramEnd"/>
      <w:r w:rsidRPr="00214EC8">
        <w:rPr>
          <w:rFonts w:ascii="Arial" w:eastAsia="Times New Roman" w:hAnsi="Arial" w:cs="Arial"/>
          <w:color w:val="2A2F38"/>
          <w:sz w:val="17"/>
          <w:szCs w:val="17"/>
          <w:lang w:eastAsia="ru-RU"/>
        </w:rPr>
        <w:t xml:space="preserve"> или права использования РИД в случаях, когда такие права безвозмездно переданы налогоплательщику государственным или муниципальным заказчиком для выполнения государственного контракта.</w:t>
      </w:r>
      <w:r w:rsidRPr="00214EC8">
        <w:rPr>
          <w:rFonts w:ascii="Arial" w:eastAsia="Times New Roman" w:hAnsi="Arial" w:cs="Arial"/>
          <w:color w:val="2A2F38"/>
          <w:sz w:val="17"/>
          <w:szCs w:val="17"/>
          <w:lang w:eastAsia="ru-RU"/>
        </w:rPr>
        <w:br/>
      </w:r>
      <w:r w:rsidRPr="00214EC8">
        <w:rPr>
          <w:rFonts w:ascii="Arial" w:eastAsia="Times New Roman" w:hAnsi="Arial" w:cs="Arial"/>
          <w:color w:val="2A2F38"/>
          <w:sz w:val="17"/>
          <w:szCs w:val="17"/>
          <w:lang w:eastAsia="ru-RU"/>
        </w:rPr>
        <w:br/>
        <w:t>Изменения также затрагивают материальную поддержку, оказываемую образовательными организациями студентам, признанным нуждающимися, согласно Федеральному закону от 29.05.2023 № 200-ФЗ. В рамках этого закона суммы материальной поддержки, перечисленных нуждающихся студентов, освобождаются от налогообложения НДФЛ в полном объеме в соответствии с локальными нормативными актами образовательных организаций. Нуждающимися студентами признаются, в частности, дети-сироты, дети, оставшиеся без попечения родителей, дети-инвалиды, дети из семей беженцев и вынужденных переселенцев, а также дети, проживающие в малоимущих семьях.</w:t>
      </w:r>
    </w:p>
    <w:p w:rsidR="00214EC8" w:rsidRPr="00214EC8" w:rsidRDefault="00214EC8" w:rsidP="00214EC8">
      <w:pPr>
        <w:shd w:val="clear" w:color="auto" w:fill="FFFFFF"/>
        <w:spacing w:before="240" w:after="120"/>
        <w:ind w:firstLine="0"/>
        <w:jc w:val="left"/>
        <w:outlineLvl w:val="2"/>
        <w:rPr>
          <w:rFonts w:ascii="inherit" w:eastAsia="Times New Roman" w:hAnsi="inherit" w:cs="Arial"/>
          <w:color w:val="2A2F38"/>
          <w:sz w:val="29"/>
          <w:szCs w:val="29"/>
          <w:lang w:eastAsia="ru-RU"/>
        </w:rPr>
      </w:pPr>
      <w:r w:rsidRPr="00214EC8">
        <w:rPr>
          <w:rFonts w:ascii="inherit" w:eastAsia="Times New Roman" w:hAnsi="inherit" w:cs="Arial"/>
          <w:color w:val="2A2F38"/>
          <w:sz w:val="29"/>
          <w:szCs w:val="29"/>
          <w:lang w:eastAsia="ru-RU"/>
        </w:rPr>
        <w:t>Переход на ФСБУ 14/2022</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С 2024 года все организации обязаны применять ФСБУ 14/2022 «Нематериальные активы» (приказ Минфина России №86н от 30.05.2022). Согласно этому стандарту нематериальные активы (НМА) должны быть классифицированы по видам:</w:t>
      </w:r>
    </w:p>
    <w:tbl>
      <w:tblPr>
        <w:tblW w:w="6000"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2790"/>
        <w:gridCol w:w="3210"/>
      </w:tblGrid>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b/>
                <w:bCs/>
                <w:sz w:val="24"/>
                <w:lang w:eastAsia="ru-RU"/>
              </w:rPr>
              <w:t>НМА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b/>
                <w:bCs/>
                <w:sz w:val="24"/>
                <w:lang w:eastAsia="ru-RU"/>
              </w:rPr>
              <w:t>Не НМА</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 xml:space="preserve">Компьютерные программы, базы данных. В том числе </w:t>
            </w:r>
            <w:proofErr w:type="gramStart"/>
            <w:r w:rsidRPr="00214EC8">
              <w:rPr>
                <w:rFonts w:eastAsia="Times New Roman"/>
                <w:sz w:val="24"/>
                <w:lang w:eastAsia="ru-RU"/>
              </w:rPr>
              <w:t>лицензионное</w:t>
            </w:r>
            <w:proofErr w:type="gramEnd"/>
            <w:r w:rsidRPr="00214EC8">
              <w:rPr>
                <w:rFonts w:eastAsia="Times New Roman"/>
                <w:sz w:val="24"/>
                <w:lang w:eastAsia="ru-RU"/>
              </w:rPr>
              <w:t xml:space="preserve"> ПО со сроком &gt; 12 месяцев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proofErr w:type="gramStart"/>
            <w:r w:rsidRPr="00214EC8">
              <w:rPr>
                <w:rFonts w:eastAsia="Times New Roman"/>
                <w:sz w:val="24"/>
                <w:lang w:eastAsia="ru-RU"/>
              </w:rPr>
              <w:t>Компьютерное</w:t>
            </w:r>
            <w:proofErr w:type="gramEnd"/>
            <w:r w:rsidRPr="00214EC8">
              <w:rPr>
                <w:rFonts w:eastAsia="Times New Roman"/>
                <w:sz w:val="24"/>
                <w:lang w:eastAsia="ru-RU"/>
              </w:rPr>
              <w:t xml:space="preserve"> ПО со сроком ≤ 12 месяцев</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Товарные знаки, знаки обслуживания, которые не созданы самостоятельно</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Затраты стадии исследования НИОКР</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Произведения литературы и искусства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Научные разработки и исследования без результата</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Изобретения и Научные открытия, которые можно применить в самой 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Материальные носители, стоимость которых отделена от НМА</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Авторские права</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 xml:space="preserve">Финансовые вложения и расходы, связанные с образованием </w:t>
            </w:r>
            <w:proofErr w:type="spellStart"/>
            <w:r w:rsidRPr="00214EC8">
              <w:rPr>
                <w:rFonts w:eastAsia="Times New Roman"/>
                <w:sz w:val="24"/>
                <w:lang w:eastAsia="ru-RU"/>
              </w:rPr>
              <w:t>юрлица</w:t>
            </w:r>
            <w:proofErr w:type="spellEnd"/>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Полезные модели, промышленные образцы и ноу-хау</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Интеллектуальные и деловые качества персонала организации, их квалификация и способность к труду</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Лицензии и разрешения на ведение деятельности сроком более 12 месяцев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Товарные знаки, средства индивидуализации, созданные своими силами</w:t>
            </w:r>
          </w:p>
        </w:tc>
      </w:tr>
      <w:tr w:rsidR="00214EC8" w:rsidRPr="00214EC8" w:rsidTr="00214EC8">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Долгосрочные права на использование природных ресурсов</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214EC8" w:rsidRPr="00214EC8" w:rsidRDefault="00214EC8" w:rsidP="00214EC8">
            <w:pPr>
              <w:ind w:firstLine="0"/>
              <w:jc w:val="left"/>
              <w:rPr>
                <w:rFonts w:eastAsia="Times New Roman"/>
                <w:sz w:val="24"/>
                <w:lang w:eastAsia="ru-RU"/>
              </w:rPr>
            </w:pPr>
            <w:r w:rsidRPr="00214EC8">
              <w:rPr>
                <w:rFonts w:eastAsia="Times New Roman"/>
                <w:sz w:val="24"/>
                <w:lang w:eastAsia="ru-RU"/>
              </w:rPr>
              <w:t>Договор по авторскому праву (ДАП)</w:t>
            </w:r>
          </w:p>
        </w:tc>
      </w:tr>
    </w:tbl>
    <w:p w:rsid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Переходные положения ФСБУ 14/2022 должны применяться ко всем нематериальным активам, которые уже учитываются в бухгалтерском учете или станут нематериальными активами на дату вступления в силу стандарта. Способ перехода зависит от того, имеет ли компания право вести упрощенный бухгалтерский учет.</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lastRenderedPageBreak/>
        <w:t>Компании без права на упрощенный учет выбирают между полной или упрощенной ретроспективой. В случае упрощенной ретроспективы сравнительные показатели отчетности пересчитываются так, будто нематериальные активы учитывались по новым правилам с момента их приобретения или создания (п.52 ФСБУ 14/2022). Второй вариант - переход без пересчета сравнительных показателей отчетности (п. 53 ФСБУ 14/2022). Этот вариант возможен, если упрощенный пересчет не приводит к существенным отличиям от результатов полной ретроспективы.</w:t>
      </w:r>
      <w:r w:rsidRPr="00214EC8">
        <w:rPr>
          <w:rFonts w:ascii="Arial" w:eastAsia="Times New Roman" w:hAnsi="Arial" w:cs="Arial"/>
          <w:color w:val="2A2F38"/>
          <w:sz w:val="17"/>
          <w:szCs w:val="17"/>
          <w:lang w:eastAsia="ru-RU"/>
        </w:rPr>
        <w:br/>
      </w:r>
      <w:r w:rsidRPr="00214EC8">
        <w:rPr>
          <w:rFonts w:ascii="Arial" w:eastAsia="Times New Roman" w:hAnsi="Arial" w:cs="Arial"/>
          <w:color w:val="2A2F38"/>
          <w:sz w:val="17"/>
          <w:szCs w:val="17"/>
          <w:lang w:eastAsia="ru-RU"/>
        </w:rPr>
        <w:br/>
        <w:t>Компании, имеющие право на упрощенный бухгалтерский учет, могут применять новые правила перспективно - только к нематериальным активам, приобретенным или созданным после перехода на ФСБУ 14/2022. Однако в отношении объектов, которые уже учитывались до перехода, порядок учета не изменяется (п. 55 ФСБУ 14/2022).</w:t>
      </w:r>
    </w:p>
    <w:p w:rsidR="00214EC8" w:rsidRPr="00214EC8" w:rsidRDefault="00214EC8" w:rsidP="00214EC8">
      <w:pPr>
        <w:shd w:val="clear" w:color="auto" w:fill="FFFFFF"/>
        <w:spacing w:before="240" w:after="120"/>
        <w:ind w:firstLine="0"/>
        <w:jc w:val="left"/>
        <w:outlineLvl w:val="2"/>
        <w:rPr>
          <w:rFonts w:ascii="inherit" w:eastAsia="Times New Roman" w:hAnsi="inherit" w:cs="Arial"/>
          <w:color w:val="2A2F38"/>
          <w:sz w:val="29"/>
          <w:szCs w:val="29"/>
          <w:lang w:eastAsia="ru-RU"/>
        </w:rPr>
      </w:pPr>
      <w:r w:rsidRPr="00214EC8">
        <w:rPr>
          <w:rFonts w:ascii="inherit" w:eastAsia="Times New Roman" w:hAnsi="inherit" w:cs="Arial"/>
          <w:color w:val="2A2F38"/>
          <w:sz w:val="29"/>
          <w:szCs w:val="29"/>
          <w:lang w:eastAsia="ru-RU"/>
        </w:rPr>
        <w:t>Ретроспективный переход и упрощенная ретроспектива</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При переходе на ФСБУ 14/2022 в режиме ретроспективы необходимо пересчитать все показатели по нематериальным активам (НМА) с даты их принятия на учет, с учетом новых правил. Это включает:</w:t>
      </w:r>
    </w:p>
    <w:p w:rsidR="00214EC8" w:rsidRPr="00214EC8" w:rsidRDefault="00214EC8" w:rsidP="00214EC8">
      <w:pPr>
        <w:numPr>
          <w:ilvl w:val="0"/>
          <w:numId w:val="3"/>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проверку соответствия критериям признания актива в качестве НМА;</w:t>
      </w:r>
    </w:p>
    <w:p w:rsidR="00214EC8" w:rsidRPr="00214EC8" w:rsidRDefault="00214EC8" w:rsidP="00214EC8">
      <w:pPr>
        <w:numPr>
          <w:ilvl w:val="0"/>
          <w:numId w:val="3"/>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установку срока полезного использования НМА;</w:t>
      </w:r>
    </w:p>
    <w:p w:rsidR="00214EC8" w:rsidRPr="00214EC8" w:rsidRDefault="00214EC8" w:rsidP="00214EC8">
      <w:pPr>
        <w:numPr>
          <w:ilvl w:val="0"/>
          <w:numId w:val="3"/>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определение ликвидационной стоимости НМА;</w:t>
      </w:r>
    </w:p>
    <w:p w:rsidR="00214EC8" w:rsidRPr="00214EC8" w:rsidRDefault="00214EC8" w:rsidP="00214EC8">
      <w:pPr>
        <w:numPr>
          <w:ilvl w:val="0"/>
          <w:numId w:val="3"/>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установку способов амортизации;</w:t>
      </w:r>
    </w:p>
    <w:p w:rsidR="00214EC8" w:rsidRPr="00214EC8" w:rsidRDefault="00214EC8" w:rsidP="00214EC8">
      <w:pPr>
        <w:numPr>
          <w:ilvl w:val="0"/>
          <w:numId w:val="3"/>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определение  первоначальной стоимости НМА и коррекция счета 04.</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 xml:space="preserve">После пересчета амортизации за все периоды </w:t>
      </w:r>
      <w:proofErr w:type="gramStart"/>
      <w:r w:rsidRPr="00214EC8">
        <w:rPr>
          <w:rFonts w:ascii="Arial" w:eastAsia="Times New Roman" w:hAnsi="Arial" w:cs="Arial"/>
          <w:color w:val="2A2F38"/>
          <w:sz w:val="17"/>
          <w:szCs w:val="17"/>
          <w:lang w:eastAsia="ru-RU"/>
        </w:rPr>
        <w:t>с даты принятия</w:t>
      </w:r>
      <w:proofErr w:type="gramEnd"/>
      <w:r w:rsidRPr="00214EC8">
        <w:rPr>
          <w:rFonts w:ascii="Arial" w:eastAsia="Times New Roman" w:hAnsi="Arial" w:cs="Arial"/>
          <w:color w:val="2A2F38"/>
          <w:sz w:val="17"/>
          <w:szCs w:val="17"/>
          <w:lang w:eastAsia="ru-RU"/>
        </w:rPr>
        <w:t xml:space="preserve"> на учет НМА, следует скорректировать счет 05. Любые разницы, возникшие в результате корректировки счетов 04 и 05, должны быть отнесены на нераспределенную прибыль, используя счет 84 согласно п. 54 ФСБУ 14/2022. Перерасчет следует провести в </w:t>
      </w:r>
      <w:proofErr w:type="spellStart"/>
      <w:r w:rsidRPr="00214EC8">
        <w:rPr>
          <w:rFonts w:ascii="Arial" w:eastAsia="Times New Roman" w:hAnsi="Arial" w:cs="Arial"/>
          <w:color w:val="2A2F38"/>
          <w:sz w:val="17"/>
          <w:szCs w:val="17"/>
          <w:lang w:eastAsia="ru-RU"/>
        </w:rPr>
        <w:t>межотчетный</w:t>
      </w:r>
      <w:proofErr w:type="spellEnd"/>
      <w:r w:rsidRPr="00214EC8">
        <w:rPr>
          <w:rFonts w:ascii="Arial" w:eastAsia="Times New Roman" w:hAnsi="Arial" w:cs="Arial"/>
          <w:color w:val="2A2F38"/>
          <w:sz w:val="17"/>
          <w:szCs w:val="17"/>
          <w:lang w:eastAsia="ru-RU"/>
        </w:rPr>
        <w:t xml:space="preserve"> период – к 31 декабря, после завершения отчетного года, но до 1 января следующего года, когда начинается применение ФСБУ 14/2022. Кроме того, необходимо пересчитать сравнительные показатели в бухгалтерской отчетности за год, в котором произошел переход на новые правила. Например, при переходе на ФСБУ 14/2022 с 2024 года необходимо пересчитать показатели на 31 декабря 2023 года и 31 декабря 2022 года, а также скорректировать данные за 2023 год в отчете о финансовых результатах.</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Организация может упростить переход на ФСБУ 14/2022 и выбрать альтернативную ретроспективу без пересчета сравнительных показателей. С упрощенной ретроспективой нужно сделать следующее:</w:t>
      </w:r>
    </w:p>
    <w:p w:rsidR="00214EC8" w:rsidRPr="00214EC8" w:rsidRDefault="00214EC8" w:rsidP="00214EC8">
      <w:pPr>
        <w:numPr>
          <w:ilvl w:val="0"/>
          <w:numId w:val="4"/>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Скорректировать состав НМА и разделить на 3 группы:</w:t>
      </w:r>
    </w:p>
    <w:p w:rsidR="00214EC8" w:rsidRPr="00214EC8" w:rsidRDefault="00214EC8" w:rsidP="00214EC8">
      <w:pPr>
        <w:numPr>
          <w:ilvl w:val="0"/>
          <w:numId w:val="5"/>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объекты, которые признаются НМА как по новым, так и по старым правилам;</w:t>
      </w:r>
    </w:p>
    <w:p w:rsidR="00214EC8" w:rsidRPr="00214EC8" w:rsidRDefault="00214EC8" w:rsidP="00214EC8">
      <w:pPr>
        <w:numPr>
          <w:ilvl w:val="0"/>
          <w:numId w:val="5"/>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объекты, которые теперь признаются НМА, а раньше относились к иным активам;</w:t>
      </w:r>
    </w:p>
    <w:p w:rsidR="00214EC8" w:rsidRPr="00214EC8" w:rsidRDefault="00214EC8" w:rsidP="00214EC8">
      <w:pPr>
        <w:numPr>
          <w:ilvl w:val="0"/>
          <w:numId w:val="5"/>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объекты, которые ранее относились к НМА, а теперь не признаются таковыми.</w:t>
      </w:r>
    </w:p>
    <w:p w:rsidR="00214EC8" w:rsidRPr="00214EC8" w:rsidRDefault="00214EC8" w:rsidP="00214EC8">
      <w:pPr>
        <w:numPr>
          <w:ilvl w:val="0"/>
          <w:numId w:val="6"/>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Оставить объекты первой группы на балансе. По ним организация определяет оставшийся срок полезного использования и ликвидационную стоимость.</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При этом балансовая стоимость таких объектов не корректируется (</w:t>
      </w:r>
      <w:proofErr w:type="spellStart"/>
      <w:r w:rsidRPr="00214EC8">
        <w:rPr>
          <w:rFonts w:ascii="Arial" w:eastAsia="Times New Roman" w:hAnsi="Arial" w:cs="Arial"/>
          <w:color w:val="2A2F38"/>
          <w:sz w:val="17"/>
          <w:szCs w:val="17"/>
          <w:lang w:eastAsia="ru-RU"/>
        </w:rPr>
        <w:t>подп</w:t>
      </w:r>
      <w:proofErr w:type="spellEnd"/>
      <w:r w:rsidRPr="00214EC8">
        <w:rPr>
          <w:rFonts w:ascii="Arial" w:eastAsia="Times New Roman" w:hAnsi="Arial" w:cs="Arial"/>
          <w:color w:val="2A2F38"/>
          <w:sz w:val="17"/>
          <w:szCs w:val="17"/>
          <w:lang w:eastAsia="ru-RU"/>
        </w:rPr>
        <w:t>. «а» п. 53 ФСБУ 14/2022). Из-за изменения срока полезного использования объекта и определения по нему ликвидационной стоимости может измениться сумма амортизации. Корректировка амортизации отражается в бухучете как изменение оценочных значений (</w:t>
      </w:r>
      <w:proofErr w:type="spellStart"/>
      <w:r w:rsidRPr="00214EC8">
        <w:rPr>
          <w:rFonts w:ascii="Arial" w:eastAsia="Times New Roman" w:hAnsi="Arial" w:cs="Arial"/>
          <w:color w:val="2A2F38"/>
          <w:sz w:val="17"/>
          <w:szCs w:val="17"/>
          <w:lang w:eastAsia="ru-RU"/>
        </w:rPr>
        <w:t>подп</w:t>
      </w:r>
      <w:proofErr w:type="spellEnd"/>
      <w:r w:rsidRPr="00214EC8">
        <w:rPr>
          <w:rFonts w:ascii="Arial" w:eastAsia="Times New Roman" w:hAnsi="Arial" w:cs="Arial"/>
          <w:color w:val="2A2F38"/>
          <w:sz w:val="17"/>
          <w:szCs w:val="17"/>
          <w:lang w:eastAsia="ru-RU"/>
        </w:rPr>
        <w:t>. «а» п. 53 ФСБУ 14/2022). То есть амортизация с учетом новых данных и по новым правилам будет начисляться с первого месяца перехода на ФСБУ 14/2022. </w:t>
      </w:r>
    </w:p>
    <w:p w:rsidR="00214EC8" w:rsidRPr="00214EC8" w:rsidRDefault="00214EC8" w:rsidP="00214EC8">
      <w:pPr>
        <w:numPr>
          <w:ilvl w:val="0"/>
          <w:numId w:val="7"/>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Перевести объекты второй группы в состав НМА (</w:t>
      </w:r>
      <w:proofErr w:type="spellStart"/>
      <w:r w:rsidRPr="00214EC8">
        <w:rPr>
          <w:rFonts w:ascii="Arial" w:eastAsia="Times New Roman" w:hAnsi="Arial" w:cs="Arial"/>
          <w:color w:val="2A2F38"/>
          <w:sz w:val="17"/>
          <w:szCs w:val="17"/>
          <w:lang w:eastAsia="ru-RU"/>
        </w:rPr>
        <w:t>подп</w:t>
      </w:r>
      <w:proofErr w:type="spellEnd"/>
      <w:r w:rsidRPr="00214EC8">
        <w:rPr>
          <w:rFonts w:ascii="Arial" w:eastAsia="Times New Roman" w:hAnsi="Arial" w:cs="Arial"/>
          <w:color w:val="2A2F38"/>
          <w:sz w:val="17"/>
          <w:szCs w:val="17"/>
          <w:lang w:eastAsia="ru-RU"/>
        </w:rPr>
        <w:t>. «б» п. 53 ФСБУ 14/2022). Амортизация по таким объектам начисляется с первого месяца перехода на новый стандарт. Для таких объектов нужно установить:</w:t>
      </w:r>
    </w:p>
    <w:p w:rsidR="00214EC8" w:rsidRPr="00214EC8" w:rsidRDefault="00214EC8" w:rsidP="00214EC8">
      <w:pPr>
        <w:numPr>
          <w:ilvl w:val="0"/>
          <w:numId w:val="8"/>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первоначальную стоимость, которая равна их балансовой стоимости на момент перехода;</w:t>
      </w:r>
    </w:p>
    <w:p w:rsidR="00214EC8" w:rsidRPr="00214EC8" w:rsidRDefault="00214EC8" w:rsidP="00214EC8">
      <w:pPr>
        <w:numPr>
          <w:ilvl w:val="0"/>
          <w:numId w:val="8"/>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оставшийся срок полезного использования;</w:t>
      </w:r>
    </w:p>
    <w:p w:rsidR="00214EC8" w:rsidRPr="00214EC8" w:rsidRDefault="00214EC8" w:rsidP="00214EC8">
      <w:pPr>
        <w:numPr>
          <w:ilvl w:val="0"/>
          <w:numId w:val="8"/>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ликвидационную стоимость;</w:t>
      </w:r>
    </w:p>
    <w:p w:rsidR="00214EC8" w:rsidRPr="00214EC8" w:rsidRDefault="00214EC8" w:rsidP="00214EC8">
      <w:pPr>
        <w:numPr>
          <w:ilvl w:val="0"/>
          <w:numId w:val="8"/>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способ амортизации.</w:t>
      </w:r>
    </w:p>
    <w:p w:rsidR="00214EC8" w:rsidRPr="00214EC8" w:rsidRDefault="00214EC8" w:rsidP="00214EC8">
      <w:pPr>
        <w:numPr>
          <w:ilvl w:val="0"/>
          <w:numId w:val="9"/>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Списать с учета объекты третьей группы. Для этого нужно сделать корректировку счетов 04 и 05 с использованием счета 84 (</w:t>
      </w:r>
      <w:proofErr w:type="spellStart"/>
      <w:r w:rsidRPr="00214EC8">
        <w:rPr>
          <w:rFonts w:ascii="Arial" w:eastAsia="Times New Roman" w:hAnsi="Arial" w:cs="Arial"/>
          <w:color w:val="2A2F38"/>
          <w:sz w:val="17"/>
          <w:szCs w:val="17"/>
          <w:lang w:eastAsia="ru-RU"/>
        </w:rPr>
        <w:t>подп</w:t>
      </w:r>
      <w:proofErr w:type="spellEnd"/>
      <w:r w:rsidRPr="00214EC8">
        <w:rPr>
          <w:rFonts w:ascii="Arial" w:eastAsia="Times New Roman" w:hAnsi="Arial" w:cs="Arial"/>
          <w:color w:val="2A2F38"/>
          <w:sz w:val="17"/>
          <w:szCs w:val="17"/>
          <w:lang w:eastAsia="ru-RU"/>
        </w:rPr>
        <w:t>. «в» п. 53 ФСБУ 14/2022).</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Несмотря на то, что 2024 год станет первым, когда начнется применение ФСБУ 14/2022, то мы рекомендуем вам осуществить следующие действия:</w:t>
      </w:r>
    </w:p>
    <w:p w:rsidR="00214EC8" w:rsidRPr="00214EC8" w:rsidRDefault="00214EC8" w:rsidP="00214EC8">
      <w:pPr>
        <w:numPr>
          <w:ilvl w:val="0"/>
          <w:numId w:val="10"/>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 xml:space="preserve">Для объектов бухгалтерского учета, которые должны быть признаны НМА согласно ФСБУ 14/2022 и ранее учитывались в их составе, необходимо установить ликвидационную стоимость и определить оставшуюся сумму первоначальной стоимости имущества (СПИ) согласно ФСБУ 14/2022. Любые изменения в </w:t>
      </w:r>
      <w:r w:rsidRPr="00214EC8">
        <w:rPr>
          <w:rFonts w:ascii="Arial" w:eastAsia="Times New Roman" w:hAnsi="Arial" w:cs="Arial"/>
          <w:color w:val="2A2F38"/>
          <w:sz w:val="17"/>
          <w:szCs w:val="17"/>
          <w:lang w:eastAsia="ru-RU"/>
        </w:rPr>
        <w:lastRenderedPageBreak/>
        <w:t>стоимости объектов НМА в связи с этим следует отразить в бухгалтерском учете как изменения оценочных значений, при этом балансовая стоимость не подлежит корректировке (п. "а" п. 53 ФСБУ 14/2022).</w:t>
      </w:r>
    </w:p>
    <w:p w:rsidR="00214EC8" w:rsidRPr="00214EC8" w:rsidRDefault="00214EC8" w:rsidP="00214EC8">
      <w:pPr>
        <w:numPr>
          <w:ilvl w:val="0"/>
          <w:numId w:val="10"/>
        </w:numPr>
        <w:shd w:val="clear" w:color="auto" w:fill="FFFFFF"/>
        <w:spacing w:before="100" w:beforeAutospacing="1" w:after="100" w:afterAutospacing="1"/>
        <w:jc w:val="left"/>
        <w:rPr>
          <w:rFonts w:ascii="Arial" w:eastAsia="Times New Roman" w:hAnsi="Arial" w:cs="Arial"/>
          <w:color w:val="2A2F38"/>
          <w:sz w:val="17"/>
          <w:szCs w:val="17"/>
          <w:lang w:eastAsia="ru-RU"/>
        </w:rPr>
      </w:pPr>
      <w:proofErr w:type="gramStart"/>
      <w:r w:rsidRPr="00214EC8">
        <w:rPr>
          <w:rFonts w:ascii="Arial" w:eastAsia="Times New Roman" w:hAnsi="Arial" w:cs="Arial"/>
          <w:color w:val="2A2F38"/>
          <w:sz w:val="17"/>
          <w:szCs w:val="17"/>
          <w:lang w:eastAsia="ru-RU"/>
        </w:rPr>
        <w:t>о</w:t>
      </w:r>
      <w:proofErr w:type="gramEnd"/>
      <w:r w:rsidRPr="00214EC8">
        <w:rPr>
          <w:rFonts w:ascii="Arial" w:eastAsia="Times New Roman" w:hAnsi="Arial" w:cs="Arial"/>
          <w:color w:val="2A2F38"/>
          <w:sz w:val="17"/>
          <w:szCs w:val="17"/>
          <w:lang w:eastAsia="ru-RU"/>
        </w:rPr>
        <w:t xml:space="preserve">бъекты бухгалтерского учета, которые должны быть признаны нематериальными активами (согласно ФСБУ 14/2022), но ранее учитывались в составе других видов активов, должны быть </w:t>
      </w:r>
      <w:proofErr w:type="spellStart"/>
      <w:r w:rsidRPr="00214EC8">
        <w:rPr>
          <w:rFonts w:ascii="Arial" w:eastAsia="Times New Roman" w:hAnsi="Arial" w:cs="Arial"/>
          <w:color w:val="2A2F38"/>
          <w:sz w:val="17"/>
          <w:szCs w:val="17"/>
          <w:lang w:eastAsia="ru-RU"/>
        </w:rPr>
        <w:t>переклассифицированы</w:t>
      </w:r>
      <w:proofErr w:type="spellEnd"/>
      <w:r w:rsidRPr="00214EC8">
        <w:rPr>
          <w:rFonts w:ascii="Arial" w:eastAsia="Times New Roman" w:hAnsi="Arial" w:cs="Arial"/>
          <w:color w:val="2A2F38"/>
          <w:sz w:val="17"/>
          <w:szCs w:val="17"/>
          <w:lang w:eastAsia="ru-RU"/>
        </w:rPr>
        <w:t xml:space="preserve"> в НМА. В качестве первоначальной стоимости следует принять балансовую стоимость соответствующего объекта на момент его </w:t>
      </w:r>
      <w:proofErr w:type="spellStart"/>
      <w:r w:rsidRPr="00214EC8">
        <w:rPr>
          <w:rFonts w:ascii="Arial" w:eastAsia="Times New Roman" w:hAnsi="Arial" w:cs="Arial"/>
          <w:color w:val="2A2F38"/>
          <w:sz w:val="17"/>
          <w:szCs w:val="17"/>
          <w:lang w:eastAsia="ru-RU"/>
        </w:rPr>
        <w:t>переклассификации</w:t>
      </w:r>
      <w:proofErr w:type="spellEnd"/>
      <w:r w:rsidRPr="00214EC8">
        <w:rPr>
          <w:rFonts w:ascii="Arial" w:eastAsia="Times New Roman" w:hAnsi="Arial" w:cs="Arial"/>
          <w:color w:val="2A2F38"/>
          <w:sz w:val="17"/>
          <w:szCs w:val="17"/>
          <w:lang w:eastAsia="ru-RU"/>
        </w:rPr>
        <w:t xml:space="preserve"> и определить оставшуюся сумму первоначальной стоимости имущества, способ начисления амортизации и ликвидационную стоимость. Любые изменения в стоимости объектов НМА в связи с этим также следует отразить в бухгалтерском учете как изменения оценочных значений (п. "б" п. 53 ФСБУ 14/2022).</w:t>
      </w:r>
    </w:p>
    <w:p w:rsidR="00214EC8" w:rsidRPr="00214EC8" w:rsidRDefault="00214EC8" w:rsidP="00214EC8">
      <w:pPr>
        <w:numPr>
          <w:ilvl w:val="0"/>
          <w:numId w:val="10"/>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Объекты бухгалтерского учета, которые ранее учитывались в составе НМА, но согласно ФСБУ 14/2022 не подпадают под этот статус, должны быть списаны однократно на нераспределенную прибыль организации или переоценены в другие виды активов (п. "в" п. 53 ФСБУ 14/2022).</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 xml:space="preserve">Компании с правом упрощенного бухучета могут применять новые правила перспективно – только в отношении новых фактов хозяйственной деятельности (п. 55 ФСБУ 14/2022). На практике это трактуют именно как </w:t>
      </w:r>
      <w:proofErr w:type="gramStart"/>
      <w:r w:rsidRPr="00214EC8">
        <w:rPr>
          <w:rFonts w:ascii="Arial" w:eastAsia="Times New Roman" w:hAnsi="Arial" w:cs="Arial"/>
          <w:color w:val="2A2F38"/>
          <w:sz w:val="17"/>
          <w:szCs w:val="17"/>
          <w:lang w:eastAsia="ru-RU"/>
        </w:rPr>
        <w:t>новые</w:t>
      </w:r>
      <w:proofErr w:type="gramEnd"/>
      <w:r w:rsidRPr="00214EC8">
        <w:rPr>
          <w:rFonts w:ascii="Arial" w:eastAsia="Times New Roman" w:hAnsi="Arial" w:cs="Arial"/>
          <w:color w:val="2A2F38"/>
          <w:sz w:val="17"/>
          <w:szCs w:val="17"/>
          <w:lang w:eastAsia="ru-RU"/>
        </w:rPr>
        <w:t xml:space="preserve"> НМА, приобретенные или созданные после перехода на ФСБУ 14/2022. По объектам, которые были поставлены на учет до перехода, порядок не изменяется. </w:t>
      </w:r>
    </w:p>
    <w:p w:rsidR="00214EC8" w:rsidRPr="00214EC8" w:rsidRDefault="00214EC8" w:rsidP="00214EC8">
      <w:pPr>
        <w:shd w:val="clear" w:color="auto" w:fill="FFFFFF"/>
        <w:spacing w:before="240" w:after="120"/>
        <w:ind w:firstLine="0"/>
        <w:jc w:val="left"/>
        <w:outlineLvl w:val="2"/>
        <w:rPr>
          <w:rFonts w:ascii="inherit" w:eastAsia="Times New Roman" w:hAnsi="inherit" w:cs="Arial"/>
          <w:color w:val="2A2F38"/>
          <w:sz w:val="29"/>
          <w:szCs w:val="29"/>
          <w:lang w:eastAsia="ru-RU"/>
        </w:rPr>
      </w:pPr>
      <w:r w:rsidRPr="00214EC8">
        <w:rPr>
          <w:rFonts w:ascii="inherit" w:eastAsia="Times New Roman" w:hAnsi="inherit" w:cs="Arial"/>
          <w:color w:val="2A2F38"/>
          <w:sz w:val="29"/>
          <w:szCs w:val="29"/>
          <w:lang w:eastAsia="ru-RU"/>
        </w:rPr>
        <w:t>Изменения в ФСБУ 26/2020</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В 2024 году компании обязаны использовать обновленную версию ФСБУ 26/2020 «Капитальные вложения» (приказ Минфина России от 30.05.2022 № 87н). Согласно нему, капитальные вложения должны отражаться в учете в размере фактических затрат на приобретение, создание, улучшение основных средств (ОС) и нематериальных активов (НМА), а также на восстановление ОС. В то же время, стандарт не учитывает предварительную оплату поставщику до выполнения им своих обязательств по предоставлению имущества. Стандарт не применяется при выполнении работ или предоставлении услуг для других лиц в области создания, улучшения и восстановления продуктивных активов, а также при приобретении и создании активов для последующей продажи.</w:t>
      </w:r>
    </w:p>
    <w:p w:rsidR="00214EC8" w:rsidRPr="00214EC8" w:rsidRDefault="00214EC8" w:rsidP="00214EC8">
      <w:pPr>
        <w:shd w:val="clear" w:color="auto" w:fill="FFFFFF"/>
        <w:spacing w:before="240" w:after="120"/>
        <w:ind w:firstLine="0"/>
        <w:jc w:val="left"/>
        <w:outlineLvl w:val="2"/>
        <w:rPr>
          <w:rFonts w:ascii="inherit" w:eastAsia="Times New Roman" w:hAnsi="inherit" w:cs="Arial"/>
          <w:color w:val="2A2F38"/>
          <w:sz w:val="29"/>
          <w:szCs w:val="29"/>
          <w:lang w:eastAsia="ru-RU"/>
        </w:rPr>
      </w:pPr>
      <w:r w:rsidRPr="00214EC8">
        <w:rPr>
          <w:rFonts w:ascii="inherit" w:eastAsia="Times New Roman" w:hAnsi="inherit" w:cs="Arial"/>
          <w:color w:val="2A2F38"/>
          <w:sz w:val="29"/>
          <w:szCs w:val="29"/>
          <w:lang w:eastAsia="ru-RU"/>
        </w:rPr>
        <w:t>Изменения в страховых взносах</w:t>
      </w:r>
    </w:p>
    <w:p w:rsidR="00214EC8" w:rsidRPr="00214EC8" w:rsidRDefault="00214EC8" w:rsidP="00214EC8">
      <w:pPr>
        <w:shd w:val="clear" w:color="auto" w:fill="FFFFFF"/>
        <w:spacing w:before="120" w:after="120"/>
        <w:ind w:firstLine="0"/>
        <w:jc w:val="left"/>
        <w:outlineLvl w:val="3"/>
        <w:rPr>
          <w:rFonts w:ascii="inherit" w:eastAsia="Times New Roman" w:hAnsi="inherit" w:cs="Arial"/>
          <w:color w:val="2A2F38"/>
          <w:sz w:val="24"/>
          <w:lang w:eastAsia="ru-RU"/>
        </w:rPr>
      </w:pPr>
      <w:r w:rsidRPr="00214EC8">
        <w:rPr>
          <w:rFonts w:ascii="inherit" w:eastAsia="Times New Roman" w:hAnsi="inherit" w:cs="Arial"/>
          <w:color w:val="2A2F38"/>
          <w:sz w:val="24"/>
          <w:lang w:eastAsia="ru-RU"/>
        </w:rPr>
        <w:t>Расчет по страховым взносам</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С начала 2024 года работодатели обязаны перейти на использование обновленной формы расчета по страховым взносам, согласно приказу ФНС России от 29.09.2023 № ЕА-7-11/696@. Эта обновленная форма уже применяется с отчетностью за 2023 год.</w:t>
      </w:r>
      <w:r w:rsidRPr="00214EC8">
        <w:rPr>
          <w:rFonts w:ascii="Arial" w:eastAsia="Times New Roman" w:hAnsi="Arial" w:cs="Arial"/>
          <w:color w:val="2A2F38"/>
          <w:sz w:val="17"/>
          <w:szCs w:val="17"/>
          <w:lang w:eastAsia="ru-RU"/>
        </w:rPr>
        <w:br/>
      </w:r>
      <w:r w:rsidRPr="00214EC8">
        <w:rPr>
          <w:rFonts w:ascii="Arial" w:eastAsia="Times New Roman" w:hAnsi="Arial" w:cs="Arial"/>
          <w:color w:val="2A2F38"/>
          <w:sz w:val="17"/>
          <w:szCs w:val="17"/>
          <w:lang w:eastAsia="ru-RU"/>
        </w:rPr>
        <w:br/>
        <w:t xml:space="preserve">В новой форме РСВ изменены </w:t>
      </w:r>
      <w:proofErr w:type="spellStart"/>
      <w:r w:rsidRPr="00214EC8">
        <w:rPr>
          <w:rFonts w:ascii="Arial" w:eastAsia="Times New Roman" w:hAnsi="Arial" w:cs="Arial"/>
          <w:color w:val="2A2F38"/>
          <w:sz w:val="17"/>
          <w:szCs w:val="17"/>
          <w:lang w:eastAsia="ru-RU"/>
        </w:rPr>
        <w:t>штрихкоды</w:t>
      </w:r>
      <w:proofErr w:type="spellEnd"/>
      <w:r w:rsidRPr="00214EC8">
        <w:rPr>
          <w:rFonts w:ascii="Arial" w:eastAsia="Times New Roman" w:hAnsi="Arial" w:cs="Arial"/>
          <w:color w:val="2A2F38"/>
          <w:sz w:val="17"/>
          <w:szCs w:val="17"/>
          <w:lang w:eastAsia="ru-RU"/>
        </w:rPr>
        <w:t>, а также в Разделе 1 "Сводные данные об обязательствах плательщика страховых взносов" появились новые поля для указания сумм страховых взносов, которые должны быть уплачены с выплат и вознаграждений в пользу иностранных работников, находящихся под обязательным социальным страхованием. Также появился новый подраздел 4 "Расчет сумм страховых взносов на обязательное пенсионное страхование, обязательное социальное страхование в случае временной нетрудоспособности и в связи с материнством, обязательное медицинское страхование с выплат и иных вознаграждений, начисленных в пользу физических лиц, упомянутых в п. 6.2 ст. 431 НК РФ".</w:t>
      </w:r>
      <w:r w:rsidRPr="00214EC8">
        <w:rPr>
          <w:rFonts w:ascii="Arial" w:eastAsia="Times New Roman" w:hAnsi="Arial" w:cs="Arial"/>
          <w:color w:val="2A2F38"/>
          <w:sz w:val="17"/>
          <w:szCs w:val="17"/>
          <w:lang w:eastAsia="ru-RU"/>
        </w:rPr>
        <w:br/>
      </w:r>
      <w:r w:rsidRPr="00214EC8">
        <w:rPr>
          <w:rFonts w:ascii="Arial" w:eastAsia="Times New Roman" w:hAnsi="Arial" w:cs="Arial"/>
          <w:color w:val="2A2F38"/>
          <w:sz w:val="17"/>
          <w:szCs w:val="17"/>
          <w:lang w:eastAsia="ru-RU"/>
        </w:rPr>
        <w:br/>
        <w:t xml:space="preserve">Кроме того, в Раздел 1 было добавлено Приложение 5 "Сведения о физических лицах, с суммами выплат и иных вознаграждений, по которым рассчитаны страховые взносы в размере, установленном </w:t>
      </w:r>
      <w:proofErr w:type="spellStart"/>
      <w:r w:rsidRPr="00214EC8">
        <w:rPr>
          <w:rFonts w:ascii="Arial" w:eastAsia="Times New Roman" w:hAnsi="Arial" w:cs="Arial"/>
          <w:color w:val="2A2F38"/>
          <w:sz w:val="17"/>
          <w:szCs w:val="17"/>
          <w:lang w:eastAsia="ru-RU"/>
        </w:rPr>
        <w:t>пп</w:t>
      </w:r>
      <w:proofErr w:type="spellEnd"/>
      <w:r w:rsidRPr="00214EC8">
        <w:rPr>
          <w:rFonts w:ascii="Arial" w:eastAsia="Times New Roman" w:hAnsi="Arial" w:cs="Arial"/>
          <w:color w:val="2A2F38"/>
          <w:sz w:val="17"/>
          <w:szCs w:val="17"/>
          <w:lang w:eastAsia="ru-RU"/>
        </w:rPr>
        <w:t>. 2 п. 6.2 ст. 431 НК РФ.</w:t>
      </w:r>
    </w:p>
    <w:p w:rsidR="00214EC8" w:rsidRPr="00214EC8" w:rsidRDefault="00214EC8" w:rsidP="00214EC8">
      <w:pPr>
        <w:shd w:val="clear" w:color="auto" w:fill="FFFFFF"/>
        <w:spacing w:before="120" w:after="120"/>
        <w:ind w:firstLine="0"/>
        <w:jc w:val="left"/>
        <w:outlineLvl w:val="3"/>
        <w:rPr>
          <w:rFonts w:ascii="inherit" w:eastAsia="Times New Roman" w:hAnsi="inherit" w:cs="Arial"/>
          <w:color w:val="2A2F38"/>
          <w:sz w:val="24"/>
          <w:lang w:eastAsia="ru-RU"/>
        </w:rPr>
      </w:pPr>
      <w:r w:rsidRPr="00214EC8">
        <w:rPr>
          <w:rFonts w:ascii="inherit" w:eastAsia="Times New Roman" w:hAnsi="inherit" w:cs="Arial"/>
          <w:color w:val="2A2F38"/>
          <w:sz w:val="24"/>
          <w:lang w:eastAsia="ru-RU"/>
        </w:rPr>
        <w:t>Предельная величина базы для страховых взносов</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С 01.01.2024 года организации и индивидуальные предприниматели будут обязаны уплачивать страховые взносы на сумму до 2 225 000 рублей в год. Это изменение было внесено постановлением Правительства РФ от 10.11.2023 года № 1883. Повышение предельной величины базы для исчисления страховых взносов произойдет на 16% по сравнению с предыдущим значением в 2023 году. Как установлено, эта сумма составляется на основе увеличения размера средней заработной платы в РФ (в 2024 году — 80 618 рублей) в 12 раз и применяемого к нему коэффициента 2,3.</w:t>
      </w:r>
    </w:p>
    <w:p w:rsidR="00214EC8" w:rsidRPr="00214EC8" w:rsidRDefault="00214EC8" w:rsidP="00214EC8">
      <w:pPr>
        <w:shd w:val="clear" w:color="auto" w:fill="FFFFFF"/>
        <w:spacing w:before="120" w:after="120"/>
        <w:ind w:firstLine="0"/>
        <w:jc w:val="left"/>
        <w:outlineLvl w:val="3"/>
        <w:rPr>
          <w:rFonts w:ascii="inherit" w:eastAsia="Times New Roman" w:hAnsi="inherit" w:cs="Arial"/>
          <w:color w:val="2A2F38"/>
          <w:sz w:val="24"/>
          <w:lang w:eastAsia="ru-RU"/>
        </w:rPr>
      </w:pPr>
      <w:r w:rsidRPr="00214EC8">
        <w:rPr>
          <w:rFonts w:ascii="inherit" w:eastAsia="Times New Roman" w:hAnsi="inherit" w:cs="Arial"/>
          <w:color w:val="2A2F38"/>
          <w:sz w:val="24"/>
          <w:lang w:eastAsia="ru-RU"/>
        </w:rPr>
        <w:t>Фиксированные страховые взносы</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С 01.01.2024 года для индивидуальных предпринимателей и лиц, занимающихся частной практикой, предусмотрено повышение размера страховых взносов. Законом № 389-ФЗ установлено увеличение величины страховых взносов на 8%. Теперь предпринимателям придется уплачивать страховые взносы на обязательное пенсионное и медицинское страхование в совокупном фиксированном размере до 49 500 рублей, если их доход не превышает 300 000 рублей (в 2023 году размер составлял 45 842 рубля). Максимальный размер страхового взноса, который индивидуальные предприниматели должны уплачивать с дохода, превышающего 300 000 рублей, в 2024 году составит 277 571 рубля (в 2023 году — 257 061 рубль).</w:t>
      </w:r>
    </w:p>
    <w:p w:rsidR="00214EC8" w:rsidRPr="00214EC8" w:rsidRDefault="00214EC8" w:rsidP="00214EC8">
      <w:pPr>
        <w:shd w:val="clear" w:color="auto" w:fill="FFFFFF"/>
        <w:spacing w:before="120" w:after="120"/>
        <w:ind w:firstLine="0"/>
        <w:jc w:val="left"/>
        <w:outlineLvl w:val="3"/>
        <w:rPr>
          <w:rFonts w:ascii="inherit" w:eastAsia="Times New Roman" w:hAnsi="inherit" w:cs="Arial"/>
          <w:color w:val="2A2F38"/>
          <w:sz w:val="24"/>
          <w:lang w:eastAsia="ru-RU"/>
        </w:rPr>
      </w:pPr>
      <w:r w:rsidRPr="00214EC8">
        <w:rPr>
          <w:rFonts w:ascii="inherit" w:eastAsia="Times New Roman" w:hAnsi="inherit" w:cs="Arial"/>
          <w:color w:val="2A2F38"/>
          <w:sz w:val="24"/>
          <w:lang w:eastAsia="ru-RU"/>
        </w:rPr>
        <w:t>Взносы на травматизм</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В 2024 году организации и индивидуальные предприниматели будут продолжать уплачивать страховые взносы на обязательное социальное страхование от несчастных случаев на производстве и профессиональных заболеваний по действующим в 2023 году тарифам. Изменения вступили в силу в соответствии с Федеральным законом от 27.11.2023 года № 549-ФЗ. Страховые взносы на несчастные случаи и профессиональные заболевания уплачиваются в размере от 0,2 до 8,5 % по 32 страховым тарифам, в зависимости от видов экономической деятельности страхователей, распределенных по классам профессионального риска.</w:t>
      </w:r>
      <w:r w:rsidRPr="00214EC8">
        <w:rPr>
          <w:rFonts w:ascii="Arial" w:eastAsia="Times New Roman" w:hAnsi="Arial" w:cs="Arial"/>
          <w:color w:val="2A2F38"/>
          <w:sz w:val="17"/>
          <w:szCs w:val="17"/>
          <w:lang w:eastAsia="ru-RU"/>
        </w:rPr>
        <w:br/>
      </w:r>
      <w:r w:rsidRPr="00214EC8">
        <w:rPr>
          <w:rFonts w:ascii="Arial" w:eastAsia="Times New Roman" w:hAnsi="Arial" w:cs="Arial"/>
          <w:color w:val="2A2F38"/>
          <w:sz w:val="17"/>
          <w:szCs w:val="17"/>
          <w:lang w:eastAsia="ru-RU"/>
        </w:rPr>
        <w:lastRenderedPageBreak/>
        <w:br/>
        <w:t>При этом работодатели, привлекающие для работы инвалидов, продолжат пользоваться льготами по уплате страховых взносов на несчастные случаи и профессиональные заболевания.</w:t>
      </w:r>
      <w:r w:rsidRPr="00214EC8">
        <w:rPr>
          <w:rFonts w:ascii="Arial" w:eastAsia="Times New Roman" w:hAnsi="Arial" w:cs="Arial"/>
          <w:color w:val="2A2F38"/>
          <w:sz w:val="17"/>
          <w:szCs w:val="17"/>
          <w:lang w:eastAsia="ru-RU"/>
        </w:rPr>
        <w:br/>
      </w:r>
      <w:r w:rsidRPr="00214EC8">
        <w:rPr>
          <w:rFonts w:ascii="Arial" w:eastAsia="Times New Roman" w:hAnsi="Arial" w:cs="Arial"/>
          <w:color w:val="2A2F38"/>
          <w:sz w:val="17"/>
          <w:szCs w:val="17"/>
          <w:lang w:eastAsia="ru-RU"/>
        </w:rPr>
        <w:br/>
        <w:t>С 01.01.2024 года для налогоплательщиков, применяющих упрощенную систему налогообложения, увеличится размер фиксированных страховых взносов на несчастные случаи на производстве и профессиональные заболевания, в соответствии с постановлением Правительства РФ от 08.12.2023 года № 2085. Величина фиксированных взносов для работодателей, применяющих упрощенную систему налогообложения, в 2024 году увеличится на 1,098 раза, достигнув 2 434 рубля в год.</w:t>
      </w:r>
    </w:p>
    <w:p w:rsidR="00214EC8" w:rsidRPr="00214EC8" w:rsidRDefault="00214EC8" w:rsidP="00214EC8">
      <w:pPr>
        <w:shd w:val="clear" w:color="auto" w:fill="FFFFFF"/>
        <w:spacing w:before="120" w:after="120"/>
        <w:ind w:firstLine="0"/>
        <w:jc w:val="left"/>
        <w:outlineLvl w:val="3"/>
        <w:rPr>
          <w:rFonts w:ascii="inherit" w:eastAsia="Times New Roman" w:hAnsi="inherit" w:cs="Arial"/>
          <w:color w:val="2A2F38"/>
          <w:sz w:val="24"/>
          <w:lang w:eastAsia="ru-RU"/>
        </w:rPr>
      </w:pPr>
      <w:r w:rsidRPr="00214EC8">
        <w:rPr>
          <w:rFonts w:ascii="inherit" w:eastAsia="Times New Roman" w:hAnsi="inherit" w:cs="Arial"/>
          <w:color w:val="2A2F38"/>
          <w:sz w:val="24"/>
          <w:lang w:eastAsia="ru-RU"/>
        </w:rPr>
        <w:t>Управляющие компании</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С 1 января 2024 года управляющие компании в сфере ЖКХ обязаны будут уплачивать страховые взносы с выплат членам и председателям советов многоквартирных домов в соответствии с законом № 389-ФЗ. Это касается денежных выплат, начисляемых управляющими организациями на основании решения общего собрания собственников помещений в многоквартирном доме. С указанного момента все выплаты и вознаграждения в пользу членов совета многоквартирного дома, включая председателя совета, избранных собственниками помещений, будут облагаться страховыми взносами.</w:t>
      </w:r>
    </w:p>
    <w:p w:rsidR="00214EC8" w:rsidRPr="00214EC8" w:rsidRDefault="00214EC8" w:rsidP="00214EC8">
      <w:pPr>
        <w:shd w:val="clear" w:color="auto" w:fill="FFFFFF"/>
        <w:spacing w:before="120" w:after="120"/>
        <w:ind w:firstLine="0"/>
        <w:jc w:val="left"/>
        <w:outlineLvl w:val="3"/>
        <w:rPr>
          <w:rFonts w:ascii="inherit" w:eastAsia="Times New Roman" w:hAnsi="inherit" w:cs="Arial"/>
          <w:color w:val="2A2F38"/>
          <w:sz w:val="24"/>
          <w:lang w:eastAsia="ru-RU"/>
        </w:rPr>
      </w:pPr>
      <w:r w:rsidRPr="00214EC8">
        <w:rPr>
          <w:rFonts w:ascii="inherit" w:eastAsia="Times New Roman" w:hAnsi="inherit" w:cs="Arial"/>
          <w:color w:val="2A2F38"/>
          <w:sz w:val="24"/>
          <w:lang w:eastAsia="ru-RU"/>
        </w:rPr>
        <w:t>Компенсация дистанционным работникам</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С 1 января 2024 к освобождаемым от взносов выплат добавили возмещение дистанционным работникам расходов, связанных с использованием в работе их собственных или арендованных:</w:t>
      </w:r>
    </w:p>
    <w:p w:rsidR="00214EC8" w:rsidRPr="00214EC8" w:rsidRDefault="00214EC8" w:rsidP="00214EC8">
      <w:pPr>
        <w:numPr>
          <w:ilvl w:val="0"/>
          <w:numId w:val="11"/>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оборудований;</w:t>
      </w:r>
    </w:p>
    <w:p w:rsidR="00214EC8" w:rsidRPr="00214EC8" w:rsidRDefault="00214EC8" w:rsidP="00214EC8">
      <w:pPr>
        <w:numPr>
          <w:ilvl w:val="0"/>
          <w:numId w:val="11"/>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программно-технических средств;</w:t>
      </w:r>
    </w:p>
    <w:p w:rsidR="00214EC8" w:rsidRPr="00214EC8" w:rsidRDefault="00214EC8" w:rsidP="00214EC8">
      <w:pPr>
        <w:numPr>
          <w:ilvl w:val="0"/>
          <w:numId w:val="11"/>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средств защиты информации;</w:t>
      </w:r>
    </w:p>
    <w:p w:rsidR="00214EC8" w:rsidRPr="00214EC8" w:rsidRDefault="00214EC8" w:rsidP="00214EC8">
      <w:pPr>
        <w:numPr>
          <w:ilvl w:val="0"/>
          <w:numId w:val="11"/>
        </w:numPr>
        <w:shd w:val="clear" w:color="auto" w:fill="FFFFFF"/>
        <w:spacing w:before="100" w:beforeAutospacing="1" w:after="100" w:afterAutospacing="1"/>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иных средств.</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Такое возмещение не облагается взносами в том размере, в котором оно предусмотрено для сотрудников трудовым или коллективным договором, дополнительным соглашением к трудовому договору либо иным локальным нормативным актом.</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В то же время необлагаемая величина ограничена. Предел составляет 35 рублей за каждый день дистанционной работы (т. е. дней явки по табелю рабочего времени). Поскольку взносы исчисляются по итогам каждого месяца, такой предельный размер также следует определять ежемесячно исходя из отработанных дистанционным сотрудником дней, либо в размере документально подтвержденных сотрудником затрат. Во внутренних документах целесообразно прописать порядок компенсации затрат дистанционных работников. От этого будет зависеть норматив освобождения таких выплат от взносов.</w:t>
      </w:r>
    </w:p>
    <w:p w:rsidR="00214EC8" w:rsidRPr="00214EC8" w:rsidRDefault="00214EC8" w:rsidP="00214EC8">
      <w:pPr>
        <w:shd w:val="clear" w:color="auto" w:fill="FFFFFF"/>
        <w:spacing w:before="240" w:after="120"/>
        <w:ind w:firstLine="0"/>
        <w:jc w:val="left"/>
        <w:outlineLvl w:val="2"/>
        <w:rPr>
          <w:rFonts w:ascii="inherit" w:eastAsia="Times New Roman" w:hAnsi="inherit" w:cs="Arial"/>
          <w:color w:val="2A2F38"/>
          <w:sz w:val="29"/>
          <w:szCs w:val="29"/>
          <w:lang w:eastAsia="ru-RU"/>
        </w:rPr>
      </w:pPr>
      <w:r w:rsidRPr="00214EC8">
        <w:rPr>
          <w:rFonts w:ascii="inherit" w:eastAsia="Times New Roman" w:hAnsi="inherit" w:cs="Arial"/>
          <w:color w:val="2A2F38"/>
          <w:sz w:val="29"/>
          <w:szCs w:val="29"/>
          <w:lang w:eastAsia="ru-RU"/>
        </w:rPr>
        <w:t>Отчетность в СФР</w:t>
      </w:r>
    </w:p>
    <w:p w:rsidR="00214EC8" w:rsidRPr="00214EC8" w:rsidRDefault="00214EC8" w:rsidP="00214EC8">
      <w:pPr>
        <w:shd w:val="clear" w:color="auto" w:fill="FFFFFF"/>
        <w:spacing w:before="120" w:after="120"/>
        <w:ind w:firstLine="0"/>
        <w:jc w:val="left"/>
        <w:outlineLvl w:val="3"/>
        <w:rPr>
          <w:rFonts w:ascii="inherit" w:eastAsia="Times New Roman" w:hAnsi="inherit" w:cs="Arial"/>
          <w:color w:val="2A2F38"/>
          <w:sz w:val="24"/>
          <w:lang w:eastAsia="ru-RU"/>
        </w:rPr>
      </w:pPr>
      <w:r w:rsidRPr="00214EC8">
        <w:rPr>
          <w:rFonts w:ascii="inherit" w:eastAsia="Times New Roman" w:hAnsi="inherit" w:cs="Arial"/>
          <w:color w:val="2A2F38"/>
          <w:sz w:val="24"/>
          <w:lang w:eastAsia="ru-RU"/>
        </w:rPr>
        <w:t>Форма ЕФС-1</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С 2024 года вносятся изменения в форму ЕФС-1 и электронный формат отчета в соответствии с приказами Статистики России от 17.11.2023 № 2281 и от 23.11.2023 № 2315. В новой редакции таблица для указания сведений об условиях занятости и заработной плате в разделе 1.3 «Сведения о заработной плате и условиях осуществления деятельности работников государственных (муниципальных) учреждений» будет изменена. В таблицу войдет дополнительное поле «Работники, не включаемые в расчет среднесписочной численности». В этом поле нужно будет указывать женщин, находящихся в отпусках по беременности и родам, работников, обучающихся в образовательных организациях, и работников, призванных по мобилизации. Для указания этих работников в поле следует ставить значение «1». Если работник в отчетном периоде не относился к вышеупомянутым категориям, станет указываться ноль в данной графе.</w:t>
      </w:r>
    </w:p>
    <w:p w:rsidR="00214EC8" w:rsidRPr="00214EC8" w:rsidRDefault="00214EC8" w:rsidP="00214EC8">
      <w:pPr>
        <w:shd w:val="clear" w:color="auto" w:fill="FFFFFF"/>
        <w:spacing w:before="120" w:after="120"/>
        <w:ind w:firstLine="0"/>
        <w:jc w:val="left"/>
        <w:outlineLvl w:val="3"/>
        <w:rPr>
          <w:rFonts w:ascii="inherit" w:eastAsia="Times New Roman" w:hAnsi="inherit" w:cs="Arial"/>
          <w:color w:val="2A2F38"/>
          <w:sz w:val="24"/>
          <w:lang w:eastAsia="ru-RU"/>
        </w:rPr>
      </w:pPr>
      <w:r w:rsidRPr="00214EC8">
        <w:rPr>
          <w:rFonts w:ascii="inherit" w:eastAsia="Times New Roman" w:hAnsi="inherit" w:cs="Arial"/>
          <w:color w:val="2A2F38"/>
          <w:sz w:val="24"/>
          <w:lang w:eastAsia="ru-RU"/>
        </w:rPr>
        <w:t>Форма ДСВ-1</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СФР разработал новую форму заявления об уплате дополнительных страховых взносов на накопительную пенсию на 2024 год. Работодатели, к которым обращаются работники, желающие уплачивать дополнительные пенсионные взносы на формирование накопительной части трудовой пенсии, должны подавать форму ДСВ-1 «Заявление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пенсию» по обновленной форме в территориальный орган СФР.</w:t>
      </w:r>
    </w:p>
    <w:p w:rsidR="00214EC8" w:rsidRPr="00214EC8" w:rsidRDefault="00214EC8" w:rsidP="00214EC8">
      <w:pPr>
        <w:shd w:val="clear" w:color="auto" w:fill="FFFFFF"/>
        <w:spacing w:before="120" w:after="120"/>
        <w:ind w:firstLine="0"/>
        <w:jc w:val="left"/>
        <w:outlineLvl w:val="3"/>
        <w:rPr>
          <w:rFonts w:ascii="inherit" w:eastAsia="Times New Roman" w:hAnsi="inherit" w:cs="Arial"/>
          <w:color w:val="2A2F38"/>
          <w:sz w:val="24"/>
          <w:lang w:eastAsia="ru-RU"/>
        </w:rPr>
      </w:pPr>
      <w:r w:rsidRPr="00214EC8">
        <w:rPr>
          <w:rFonts w:ascii="inherit" w:eastAsia="Times New Roman" w:hAnsi="inherit" w:cs="Arial"/>
          <w:color w:val="2A2F38"/>
          <w:sz w:val="24"/>
          <w:lang w:eastAsia="ru-RU"/>
        </w:rPr>
        <w:t>Форма СЗВ-ДСО</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В 2024 году организации, выступающие в роли страхователей, будут представлять в Социальный фонд России отчетность о работниках, которые имеют право на получение ежемесячной доплаты к пенсии, по новой форме и формату согласно приказу СФР от 11.10.2023 № 2018. Это относится к работодателям, которые используют труд членов летных экипажей воздушных судов гражданской авиации, а также работодателям в сфере угольной промышленности, у которых имеются рабочие места с правом на получение ежемесячной доплаты к пенсии. Новая форма СЗВ-ДСО требует указания информации о периодах работы, которые дают право на ежемесячную доплату к пенсии, а также сумму заработка, по которой определяется размер ежемесячной доплаты. Форма должна быть представлена ежегодно, не позднее 25 января.</w:t>
      </w:r>
    </w:p>
    <w:p w:rsidR="00214EC8" w:rsidRPr="00214EC8" w:rsidRDefault="00214EC8" w:rsidP="00214EC8">
      <w:pPr>
        <w:shd w:val="clear" w:color="auto" w:fill="FFFFFF"/>
        <w:spacing w:before="240" w:after="120"/>
        <w:ind w:firstLine="0"/>
        <w:jc w:val="left"/>
        <w:outlineLvl w:val="2"/>
        <w:rPr>
          <w:rFonts w:ascii="inherit" w:eastAsia="Times New Roman" w:hAnsi="inherit" w:cs="Arial"/>
          <w:color w:val="2A2F38"/>
          <w:sz w:val="29"/>
          <w:szCs w:val="29"/>
          <w:lang w:eastAsia="ru-RU"/>
        </w:rPr>
      </w:pPr>
      <w:r w:rsidRPr="00214EC8">
        <w:rPr>
          <w:rFonts w:ascii="inherit" w:eastAsia="Times New Roman" w:hAnsi="inherit" w:cs="Arial"/>
          <w:color w:val="2A2F38"/>
          <w:sz w:val="29"/>
          <w:szCs w:val="29"/>
          <w:lang w:eastAsia="ru-RU"/>
        </w:rPr>
        <w:lastRenderedPageBreak/>
        <w:t xml:space="preserve">НДС и </w:t>
      </w:r>
      <w:proofErr w:type="spellStart"/>
      <w:r w:rsidRPr="00214EC8">
        <w:rPr>
          <w:rFonts w:ascii="inherit" w:eastAsia="Times New Roman" w:hAnsi="inherit" w:cs="Arial"/>
          <w:color w:val="2A2F38"/>
          <w:sz w:val="29"/>
          <w:szCs w:val="29"/>
          <w:lang w:eastAsia="ru-RU"/>
        </w:rPr>
        <w:t>прослеживаемость</w:t>
      </w:r>
      <w:proofErr w:type="spellEnd"/>
    </w:p>
    <w:p w:rsidR="00214EC8" w:rsidRPr="00214EC8" w:rsidRDefault="00214EC8" w:rsidP="00214EC8">
      <w:pPr>
        <w:shd w:val="clear" w:color="auto" w:fill="FFFFFF"/>
        <w:spacing w:before="120" w:after="120"/>
        <w:ind w:firstLine="0"/>
        <w:jc w:val="left"/>
        <w:outlineLvl w:val="3"/>
        <w:rPr>
          <w:rFonts w:ascii="inherit" w:eastAsia="Times New Roman" w:hAnsi="inherit" w:cs="Arial"/>
          <w:color w:val="2A2F38"/>
          <w:sz w:val="24"/>
          <w:lang w:eastAsia="ru-RU"/>
        </w:rPr>
      </w:pPr>
      <w:r w:rsidRPr="00214EC8">
        <w:rPr>
          <w:rFonts w:ascii="inherit" w:eastAsia="Times New Roman" w:hAnsi="inherit" w:cs="Arial"/>
          <w:color w:val="2A2F38"/>
          <w:sz w:val="24"/>
          <w:lang w:eastAsia="ru-RU"/>
        </w:rPr>
        <w:t>Форма счета-фактуры</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 xml:space="preserve">С 1 апреля 2024 года организации и ИП будут переходить на использование обновленной формы счета-фактуры. В новой форме счета-фактуры помимо других реквизитов необходимо указывать стоимость товара, который подлежит прослеживанию. Для этого табличная часть формы счета-фактуры дополнена новой графой 14 "Стоимость товара, подлежащего </w:t>
      </w:r>
      <w:proofErr w:type="spellStart"/>
      <w:r w:rsidRPr="00214EC8">
        <w:rPr>
          <w:rFonts w:ascii="Arial" w:eastAsia="Times New Roman" w:hAnsi="Arial" w:cs="Arial"/>
          <w:color w:val="2A2F38"/>
          <w:sz w:val="17"/>
          <w:szCs w:val="17"/>
          <w:lang w:eastAsia="ru-RU"/>
        </w:rPr>
        <w:t>прослеживаемости</w:t>
      </w:r>
      <w:proofErr w:type="spellEnd"/>
      <w:r w:rsidRPr="00214EC8">
        <w:rPr>
          <w:rFonts w:ascii="Arial" w:eastAsia="Times New Roman" w:hAnsi="Arial" w:cs="Arial"/>
          <w:color w:val="2A2F38"/>
          <w:sz w:val="17"/>
          <w:szCs w:val="17"/>
          <w:lang w:eastAsia="ru-RU"/>
        </w:rPr>
        <w:t xml:space="preserve">, без налога на добавленную стоимость, в рублях". Все сведения о прослеживаемых товарах, включая их стоимость, должны </w:t>
      </w:r>
      <w:proofErr w:type="gramStart"/>
      <w:r w:rsidRPr="00214EC8">
        <w:rPr>
          <w:rFonts w:ascii="Arial" w:eastAsia="Times New Roman" w:hAnsi="Arial" w:cs="Arial"/>
          <w:color w:val="2A2F38"/>
          <w:sz w:val="17"/>
          <w:szCs w:val="17"/>
          <w:lang w:eastAsia="ru-RU"/>
        </w:rPr>
        <w:t>быть</w:t>
      </w:r>
      <w:proofErr w:type="gramEnd"/>
      <w:r w:rsidRPr="00214EC8">
        <w:rPr>
          <w:rFonts w:ascii="Arial" w:eastAsia="Times New Roman" w:hAnsi="Arial" w:cs="Arial"/>
          <w:color w:val="2A2F38"/>
          <w:sz w:val="17"/>
          <w:szCs w:val="17"/>
          <w:lang w:eastAsia="ru-RU"/>
        </w:rPr>
        <w:t xml:space="preserve"> указаны, включая случаи реализации прослеживаемых товаров в составе комплектов и наборов, а также при передаче прослеживаемых товаров в рамках выполненных работ. Новые нормы также закрепляют требование включения счета-фактуры в состав документа об отгрузке товаров, выполнении работ и передаче имущественных прав при условии, что сохранена установленная форма счета-фактуры.</w:t>
      </w:r>
    </w:p>
    <w:p w:rsidR="00214EC8" w:rsidRPr="00214EC8" w:rsidRDefault="00214EC8" w:rsidP="00214EC8">
      <w:pPr>
        <w:shd w:val="clear" w:color="auto" w:fill="FFFFFF"/>
        <w:spacing w:before="120" w:after="120"/>
        <w:ind w:firstLine="0"/>
        <w:jc w:val="left"/>
        <w:outlineLvl w:val="3"/>
        <w:rPr>
          <w:rFonts w:ascii="inherit" w:eastAsia="Times New Roman" w:hAnsi="inherit" w:cs="Arial"/>
          <w:color w:val="2A2F38"/>
          <w:sz w:val="24"/>
          <w:lang w:eastAsia="ru-RU"/>
        </w:rPr>
      </w:pPr>
      <w:proofErr w:type="spellStart"/>
      <w:r w:rsidRPr="00214EC8">
        <w:rPr>
          <w:rFonts w:ascii="inherit" w:eastAsia="Times New Roman" w:hAnsi="inherit" w:cs="Arial"/>
          <w:color w:val="2A2F38"/>
          <w:sz w:val="24"/>
          <w:lang w:eastAsia="ru-RU"/>
        </w:rPr>
        <w:t>Прослеживаемость</w:t>
      </w:r>
      <w:proofErr w:type="spellEnd"/>
      <w:r w:rsidRPr="00214EC8">
        <w:rPr>
          <w:rFonts w:ascii="inherit" w:eastAsia="Times New Roman" w:hAnsi="inherit" w:cs="Arial"/>
          <w:color w:val="2A2F38"/>
          <w:sz w:val="24"/>
          <w:lang w:eastAsia="ru-RU"/>
        </w:rPr>
        <w:t xml:space="preserve"> товаров</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С 18 января 2024 для организаций и ИП также вводится обязательство представлять уведомления о вывозе прослеживаемых товаров (из перечня ЕЭК) из России или с иных территорий под ее юрисдикцией в страны ЕАЭС (постановление Правительства РФ от 15.12.2023 N 2162). Уведомлять о перемещении товаров необходимо до их перемещения.</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С этой же даты также расширен перечень операций с прослеживаемыми товарами. В обновленный перечень теперь войдут прослеживаемые товары, передаваемые и получаемые в составе выполненных работ.</w:t>
      </w:r>
    </w:p>
    <w:p w:rsidR="00214EC8" w:rsidRPr="00214EC8" w:rsidRDefault="00214EC8" w:rsidP="00214EC8">
      <w:pPr>
        <w:shd w:val="clear" w:color="auto" w:fill="FFFFFF"/>
        <w:spacing w:before="120" w:after="120"/>
        <w:ind w:firstLine="0"/>
        <w:jc w:val="left"/>
        <w:outlineLvl w:val="3"/>
        <w:rPr>
          <w:rFonts w:ascii="inherit" w:eastAsia="Times New Roman" w:hAnsi="inherit" w:cs="Arial"/>
          <w:color w:val="2A2F38"/>
          <w:sz w:val="24"/>
          <w:lang w:eastAsia="ru-RU"/>
        </w:rPr>
      </w:pPr>
      <w:r w:rsidRPr="00214EC8">
        <w:rPr>
          <w:rFonts w:ascii="inherit" w:eastAsia="Times New Roman" w:hAnsi="inherit" w:cs="Arial"/>
          <w:color w:val="2A2F38"/>
          <w:sz w:val="24"/>
          <w:lang w:eastAsia="ru-RU"/>
        </w:rPr>
        <w:t>Заявительный порядок возмещения НДС</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С 1 апреля 2024 года у организаций изменятся условия применения заявительного (ускоренного) порядка возмещения НДС (закон № 389-ФЗ). Теперь, чтобы возместить налог до завершения камеральной проверки декларации по НДС, организация должна направить в ИФНС банковскую гарантию не позднее дня, следующего за днем ее выдачи. </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Гарантия предусматривает обязательство банка уплатить в бюджет за налогоплательщика сумму НДС, полученную им в результате возмещения налога в заявительном порядке, и выдаваться на всю сумму НДС, заявляемую к возмещению. Срок действия гарантии должен истекать не раньше, чем через 10 месяцев со дня подачи декларации, в которой заявлена сумма НДС к возмещению. Заменить ранее направленную в налоговую инспекцию гарантию новой гарантией налогоплательщики могут в срок не позднее 5 дней со дня представления налоговой декларации.</w:t>
      </w:r>
    </w:p>
    <w:p w:rsidR="00214EC8" w:rsidRPr="00214EC8" w:rsidRDefault="00214EC8" w:rsidP="00214EC8">
      <w:pPr>
        <w:shd w:val="clear" w:color="auto" w:fill="FFFFFF"/>
        <w:spacing w:before="120" w:after="120"/>
        <w:ind w:firstLine="0"/>
        <w:jc w:val="left"/>
        <w:outlineLvl w:val="3"/>
        <w:rPr>
          <w:rFonts w:ascii="inherit" w:eastAsia="Times New Roman" w:hAnsi="inherit" w:cs="Arial"/>
          <w:color w:val="2A2F38"/>
          <w:sz w:val="24"/>
          <w:lang w:eastAsia="ru-RU"/>
        </w:rPr>
      </w:pPr>
      <w:r w:rsidRPr="00214EC8">
        <w:rPr>
          <w:rFonts w:ascii="inherit" w:eastAsia="Times New Roman" w:hAnsi="inherit" w:cs="Arial"/>
          <w:color w:val="2A2F38"/>
          <w:sz w:val="24"/>
          <w:lang w:eastAsia="ru-RU"/>
        </w:rPr>
        <w:t>НДС за услуги застройщиков</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proofErr w:type="gramStart"/>
      <w:r w:rsidRPr="00214EC8">
        <w:rPr>
          <w:rFonts w:ascii="Arial" w:eastAsia="Times New Roman" w:hAnsi="Arial" w:cs="Arial"/>
          <w:color w:val="2A2F38"/>
          <w:sz w:val="17"/>
          <w:szCs w:val="17"/>
          <w:lang w:eastAsia="ru-RU"/>
        </w:rPr>
        <w:t>С 1 января 2024 года услуги застройщиков по строительству апартаментов по договорам долевого строительства облагаются НДС, в соответствии с Законом № 389-ФЗ).</w:t>
      </w:r>
      <w:proofErr w:type="gramEnd"/>
      <w:r w:rsidRPr="00214EC8">
        <w:rPr>
          <w:rFonts w:ascii="Arial" w:eastAsia="Times New Roman" w:hAnsi="Arial" w:cs="Arial"/>
          <w:color w:val="2A2F38"/>
          <w:sz w:val="17"/>
          <w:szCs w:val="17"/>
          <w:lang w:eastAsia="ru-RU"/>
        </w:rPr>
        <w:t xml:space="preserve"> Речь идет об услугах по выполнению функций застройщика, оказываемых при строительстве жилых помещений (апартаментов), предназначенных для временного проживания без права на постоянную регистрацию.</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НДС уплачивается в отношении услуг застройщика, оказываемых на основании договора участия в долевом строительстве, при строительстве объектов недвижимости, разрешение на строительство которых получено с 01.01.2024. При строительстве недвижимости, разрешение на строительство которой получено до 01.01.2024, соответствующие услуги НДС не облагаются.</w:t>
      </w:r>
    </w:p>
    <w:p w:rsidR="00214EC8" w:rsidRPr="00214EC8" w:rsidRDefault="00214EC8" w:rsidP="00214EC8">
      <w:pPr>
        <w:shd w:val="clear" w:color="auto" w:fill="FFFFFF"/>
        <w:spacing w:before="120" w:after="120"/>
        <w:ind w:firstLine="0"/>
        <w:jc w:val="left"/>
        <w:outlineLvl w:val="3"/>
        <w:rPr>
          <w:rFonts w:ascii="inherit" w:eastAsia="Times New Roman" w:hAnsi="inherit" w:cs="Arial"/>
          <w:color w:val="2A2F38"/>
          <w:sz w:val="24"/>
          <w:lang w:eastAsia="ru-RU"/>
        </w:rPr>
      </w:pPr>
      <w:r w:rsidRPr="00214EC8">
        <w:rPr>
          <w:rFonts w:ascii="inherit" w:eastAsia="Times New Roman" w:hAnsi="inherit" w:cs="Arial"/>
          <w:color w:val="2A2F38"/>
          <w:sz w:val="24"/>
          <w:lang w:eastAsia="ru-RU"/>
        </w:rPr>
        <w:t>Новые плательщики НДС </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С 01.01.2024 увеличится число организаций и ИП, обязанных уплачивать НДС (№ 539-ФЗ). В число компаний, производящих уплату налога, войдут посредники-импортеры, ввозящие в РФ продукцию с территорий госуда</w:t>
      </w:r>
      <w:proofErr w:type="gramStart"/>
      <w:r w:rsidRPr="00214EC8">
        <w:rPr>
          <w:rFonts w:ascii="Arial" w:eastAsia="Times New Roman" w:hAnsi="Arial" w:cs="Arial"/>
          <w:color w:val="2A2F38"/>
          <w:sz w:val="17"/>
          <w:szCs w:val="17"/>
          <w:lang w:eastAsia="ru-RU"/>
        </w:rPr>
        <w:t>рств чл</w:t>
      </w:r>
      <w:proofErr w:type="gramEnd"/>
      <w:r w:rsidRPr="00214EC8">
        <w:rPr>
          <w:rFonts w:ascii="Arial" w:eastAsia="Times New Roman" w:hAnsi="Arial" w:cs="Arial"/>
          <w:color w:val="2A2F38"/>
          <w:sz w:val="17"/>
          <w:szCs w:val="17"/>
          <w:lang w:eastAsia="ru-RU"/>
        </w:rPr>
        <w:t>енов ЕАЭС на основании договоров поручения, договоров комиссии и агентских договоров. </w:t>
      </w:r>
      <w:proofErr w:type="gramStart"/>
      <w:r w:rsidRPr="00214EC8">
        <w:rPr>
          <w:rFonts w:ascii="Arial" w:eastAsia="Times New Roman" w:hAnsi="Arial" w:cs="Arial"/>
          <w:color w:val="2A2F38"/>
          <w:sz w:val="17"/>
          <w:szCs w:val="17"/>
          <w:lang w:eastAsia="ru-RU"/>
        </w:rPr>
        <w:t>По новым правилам при ввозе товаров в РФ с территорий Европейского союза на основании</w:t>
      </w:r>
      <w:proofErr w:type="gramEnd"/>
      <w:r w:rsidRPr="00214EC8">
        <w:rPr>
          <w:rFonts w:ascii="Arial" w:eastAsia="Times New Roman" w:hAnsi="Arial" w:cs="Arial"/>
          <w:color w:val="2A2F38"/>
          <w:sz w:val="17"/>
          <w:szCs w:val="17"/>
          <w:lang w:eastAsia="ru-RU"/>
        </w:rPr>
        <w:t xml:space="preserve"> договоров поручения, договоров комиссии и агентских договоров исчисление и уплату НДС будут осуществлять непосредственно поверенные, комиссионеры и агенты.</w:t>
      </w:r>
    </w:p>
    <w:p w:rsidR="00214EC8" w:rsidRPr="00214EC8" w:rsidRDefault="00214EC8" w:rsidP="00214EC8">
      <w:pPr>
        <w:shd w:val="clear" w:color="auto" w:fill="FFFFFF"/>
        <w:spacing w:before="120" w:after="120"/>
        <w:ind w:firstLine="0"/>
        <w:jc w:val="left"/>
        <w:outlineLvl w:val="3"/>
        <w:rPr>
          <w:rFonts w:ascii="inherit" w:eastAsia="Times New Roman" w:hAnsi="inherit" w:cs="Arial"/>
          <w:color w:val="2A2F38"/>
          <w:sz w:val="24"/>
          <w:lang w:eastAsia="ru-RU"/>
        </w:rPr>
      </w:pPr>
      <w:r w:rsidRPr="00214EC8">
        <w:rPr>
          <w:rFonts w:ascii="inherit" w:eastAsia="Times New Roman" w:hAnsi="inherit" w:cs="Arial"/>
          <w:color w:val="2A2F38"/>
          <w:sz w:val="24"/>
          <w:lang w:eastAsia="ru-RU"/>
        </w:rPr>
        <w:t>Льготная ставка 10%</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С 1 января 2024 станет больше детских товаров, которые облагаются НДС по льготной ставке (№ 504-ФЗ). При их реализации организации и ИП могут применять льготную ставку НДС 10%. К добавленным товарам относится: детская мебель и детские удерживающие устройства, предназначенные для использования в механических транспортных средствах, велосипеды, изделия для ухода за детьми, включая пустышки и пеленки. При реализации всех перечисленных товаров организации и ИП смогут применять льготную ставку НДС 10%. </w:t>
      </w:r>
    </w:p>
    <w:p w:rsidR="00214EC8" w:rsidRPr="00214EC8" w:rsidRDefault="00214EC8" w:rsidP="00214EC8">
      <w:pPr>
        <w:shd w:val="clear" w:color="auto" w:fill="FFFFFF"/>
        <w:spacing w:after="120"/>
        <w:ind w:firstLine="0"/>
        <w:jc w:val="left"/>
        <w:rPr>
          <w:rFonts w:ascii="Arial" w:eastAsia="Times New Roman" w:hAnsi="Arial" w:cs="Arial"/>
          <w:color w:val="2A2F38"/>
          <w:sz w:val="17"/>
          <w:szCs w:val="17"/>
          <w:lang w:eastAsia="ru-RU"/>
        </w:rPr>
      </w:pPr>
      <w:r w:rsidRPr="00214EC8">
        <w:rPr>
          <w:rFonts w:ascii="Arial" w:eastAsia="Times New Roman" w:hAnsi="Arial" w:cs="Arial"/>
          <w:color w:val="2A2F38"/>
          <w:sz w:val="17"/>
          <w:szCs w:val="17"/>
          <w:lang w:eastAsia="ru-RU"/>
        </w:rPr>
        <w:t> </w:t>
      </w:r>
    </w:p>
    <w:p w:rsidR="00231508" w:rsidRDefault="00231508"/>
    <w:sectPr w:rsidR="00231508" w:rsidSect="002315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04AD"/>
    <w:multiLevelType w:val="multilevel"/>
    <w:tmpl w:val="1110D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487C1D"/>
    <w:multiLevelType w:val="multilevel"/>
    <w:tmpl w:val="5734D8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B044E7"/>
    <w:multiLevelType w:val="multilevel"/>
    <w:tmpl w:val="984A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EE7D8C"/>
    <w:multiLevelType w:val="multilevel"/>
    <w:tmpl w:val="79FC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C659B9"/>
    <w:multiLevelType w:val="multilevel"/>
    <w:tmpl w:val="889C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3A514E"/>
    <w:multiLevelType w:val="multilevel"/>
    <w:tmpl w:val="BF00D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D65917"/>
    <w:multiLevelType w:val="multilevel"/>
    <w:tmpl w:val="1450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AA0326"/>
    <w:multiLevelType w:val="multilevel"/>
    <w:tmpl w:val="EDB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577820"/>
    <w:multiLevelType w:val="multilevel"/>
    <w:tmpl w:val="6198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2E10B3"/>
    <w:multiLevelType w:val="multilevel"/>
    <w:tmpl w:val="919CB7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CE02FA"/>
    <w:multiLevelType w:val="multilevel"/>
    <w:tmpl w:val="E4263B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0"/>
  </w:num>
  <w:num w:numId="5">
    <w:abstractNumId w:val="8"/>
  </w:num>
  <w:num w:numId="6">
    <w:abstractNumId w:val="1"/>
  </w:num>
  <w:num w:numId="7">
    <w:abstractNumId w:val="9"/>
  </w:num>
  <w:num w:numId="8">
    <w:abstractNumId w:val="7"/>
  </w:num>
  <w:num w:numId="9">
    <w:abstractNumId w:val="10"/>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4EC8"/>
    <w:rsid w:val="00214EC8"/>
    <w:rsid w:val="00231508"/>
    <w:rsid w:val="00A17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08"/>
  </w:style>
  <w:style w:type="paragraph" w:styleId="1">
    <w:name w:val="heading 1"/>
    <w:basedOn w:val="a"/>
    <w:link w:val="10"/>
    <w:uiPriority w:val="9"/>
    <w:qFormat/>
    <w:rsid w:val="00214EC8"/>
    <w:pPr>
      <w:spacing w:before="100" w:beforeAutospacing="1" w:after="100" w:afterAutospacing="1"/>
      <w:ind w:firstLine="0"/>
      <w:jc w:val="left"/>
      <w:outlineLvl w:val="0"/>
    </w:pPr>
    <w:rPr>
      <w:rFonts w:eastAsia="Times New Roman"/>
      <w:b/>
      <w:bCs/>
      <w:kern w:val="36"/>
      <w:sz w:val="48"/>
      <w:szCs w:val="48"/>
      <w:lang w:eastAsia="ru-RU"/>
    </w:rPr>
  </w:style>
  <w:style w:type="paragraph" w:styleId="3">
    <w:name w:val="heading 3"/>
    <w:basedOn w:val="a"/>
    <w:link w:val="30"/>
    <w:uiPriority w:val="9"/>
    <w:qFormat/>
    <w:rsid w:val="00214EC8"/>
    <w:pPr>
      <w:spacing w:before="100" w:beforeAutospacing="1" w:after="100" w:afterAutospacing="1"/>
      <w:ind w:firstLine="0"/>
      <w:jc w:val="left"/>
      <w:outlineLvl w:val="2"/>
    </w:pPr>
    <w:rPr>
      <w:rFonts w:eastAsia="Times New Roman"/>
      <w:b/>
      <w:bCs/>
      <w:sz w:val="27"/>
      <w:szCs w:val="27"/>
      <w:lang w:eastAsia="ru-RU"/>
    </w:rPr>
  </w:style>
  <w:style w:type="paragraph" w:styleId="4">
    <w:name w:val="heading 4"/>
    <w:basedOn w:val="a"/>
    <w:link w:val="40"/>
    <w:uiPriority w:val="9"/>
    <w:qFormat/>
    <w:rsid w:val="00214EC8"/>
    <w:pPr>
      <w:spacing w:before="100" w:beforeAutospacing="1" w:after="100" w:afterAutospacing="1"/>
      <w:ind w:firstLine="0"/>
      <w:jc w:val="left"/>
      <w:outlineLvl w:val="3"/>
    </w:pPr>
    <w:rPr>
      <w:rFonts w:eastAsia="Times New Roman"/>
      <w:b/>
      <w:bCs/>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4EC8"/>
    <w:rPr>
      <w:rFonts w:eastAsia="Times New Roman"/>
      <w:b/>
      <w:bCs/>
      <w:kern w:val="36"/>
      <w:sz w:val="48"/>
      <w:szCs w:val="48"/>
      <w:lang w:eastAsia="ru-RU"/>
    </w:rPr>
  </w:style>
  <w:style w:type="character" w:customStyle="1" w:styleId="30">
    <w:name w:val="Заголовок 3 Знак"/>
    <w:basedOn w:val="a0"/>
    <w:link w:val="3"/>
    <w:uiPriority w:val="9"/>
    <w:rsid w:val="00214EC8"/>
    <w:rPr>
      <w:rFonts w:eastAsia="Times New Roman"/>
      <w:b/>
      <w:bCs/>
      <w:sz w:val="27"/>
      <w:szCs w:val="27"/>
      <w:lang w:eastAsia="ru-RU"/>
    </w:rPr>
  </w:style>
  <w:style w:type="character" w:customStyle="1" w:styleId="40">
    <w:name w:val="Заголовок 4 Знак"/>
    <w:basedOn w:val="a0"/>
    <w:link w:val="4"/>
    <w:uiPriority w:val="9"/>
    <w:rsid w:val="00214EC8"/>
    <w:rPr>
      <w:rFonts w:eastAsia="Times New Roman"/>
      <w:b/>
      <w:bCs/>
      <w:sz w:val="24"/>
      <w:lang w:eastAsia="ru-RU"/>
    </w:rPr>
  </w:style>
  <w:style w:type="paragraph" w:styleId="a3">
    <w:name w:val="Normal (Web)"/>
    <w:basedOn w:val="a"/>
    <w:uiPriority w:val="99"/>
    <w:unhideWhenUsed/>
    <w:rsid w:val="00214EC8"/>
    <w:pPr>
      <w:spacing w:before="100" w:beforeAutospacing="1" w:after="100" w:afterAutospacing="1"/>
      <w:ind w:firstLine="0"/>
      <w:jc w:val="left"/>
    </w:pPr>
    <w:rPr>
      <w:rFonts w:eastAsia="Times New Roman"/>
      <w:sz w:val="24"/>
      <w:lang w:eastAsia="ru-RU"/>
    </w:rPr>
  </w:style>
  <w:style w:type="character" w:styleId="a4">
    <w:name w:val="Hyperlink"/>
    <w:basedOn w:val="a0"/>
    <w:uiPriority w:val="99"/>
    <w:semiHidden/>
    <w:unhideWhenUsed/>
    <w:rsid w:val="00214EC8"/>
    <w:rPr>
      <w:color w:val="0000FF"/>
      <w:u w:val="single"/>
    </w:rPr>
  </w:style>
  <w:style w:type="character" w:styleId="a5">
    <w:name w:val="Strong"/>
    <w:basedOn w:val="a0"/>
    <w:uiPriority w:val="22"/>
    <w:qFormat/>
    <w:rsid w:val="00214EC8"/>
    <w:rPr>
      <w:b/>
      <w:bCs/>
    </w:rPr>
  </w:style>
  <w:style w:type="character" w:styleId="a6">
    <w:name w:val="Emphasis"/>
    <w:basedOn w:val="a0"/>
    <w:uiPriority w:val="20"/>
    <w:qFormat/>
    <w:rsid w:val="00214EC8"/>
    <w:rPr>
      <w:i/>
      <w:iCs/>
    </w:rPr>
  </w:style>
  <w:style w:type="paragraph" w:styleId="a7">
    <w:name w:val="Balloon Text"/>
    <w:basedOn w:val="a"/>
    <w:link w:val="a8"/>
    <w:uiPriority w:val="99"/>
    <w:semiHidden/>
    <w:unhideWhenUsed/>
    <w:rsid w:val="00214EC8"/>
    <w:rPr>
      <w:rFonts w:ascii="Tahoma" w:hAnsi="Tahoma" w:cs="Tahoma"/>
      <w:sz w:val="16"/>
      <w:szCs w:val="16"/>
    </w:rPr>
  </w:style>
  <w:style w:type="character" w:customStyle="1" w:styleId="a8">
    <w:name w:val="Текст выноски Знак"/>
    <w:basedOn w:val="a0"/>
    <w:link w:val="a7"/>
    <w:uiPriority w:val="99"/>
    <w:semiHidden/>
    <w:rsid w:val="00214E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46040">
      <w:bodyDiv w:val="1"/>
      <w:marLeft w:val="0"/>
      <w:marRight w:val="0"/>
      <w:marTop w:val="0"/>
      <w:marBottom w:val="0"/>
      <w:divBdr>
        <w:top w:val="none" w:sz="0" w:space="0" w:color="auto"/>
        <w:left w:val="none" w:sz="0" w:space="0" w:color="auto"/>
        <w:bottom w:val="none" w:sz="0" w:space="0" w:color="auto"/>
        <w:right w:val="none" w:sz="0" w:space="0" w:color="auto"/>
      </w:divBdr>
      <w:divsChild>
        <w:div w:id="198974382">
          <w:marLeft w:val="0"/>
          <w:marRight w:val="0"/>
          <w:marTop w:val="0"/>
          <w:marBottom w:val="0"/>
          <w:divBdr>
            <w:top w:val="none" w:sz="0" w:space="0" w:color="auto"/>
            <w:left w:val="none" w:sz="0" w:space="0" w:color="auto"/>
            <w:bottom w:val="none" w:sz="0" w:space="0" w:color="auto"/>
            <w:right w:val="none" w:sz="0" w:space="0" w:color="auto"/>
          </w:divBdr>
          <w:divsChild>
            <w:div w:id="1248151038">
              <w:marLeft w:val="0"/>
              <w:marRight w:val="0"/>
              <w:marTop w:val="0"/>
              <w:marBottom w:val="0"/>
              <w:divBdr>
                <w:top w:val="none" w:sz="0" w:space="0" w:color="auto"/>
                <w:left w:val="none" w:sz="0" w:space="0" w:color="auto"/>
                <w:bottom w:val="none" w:sz="0" w:space="0" w:color="auto"/>
                <w:right w:val="none" w:sz="0" w:space="0" w:color="auto"/>
              </w:divBdr>
            </w:div>
            <w:div w:id="1297222152">
              <w:marLeft w:val="0"/>
              <w:marRight w:val="0"/>
              <w:marTop w:val="0"/>
              <w:marBottom w:val="0"/>
              <w:divBdr>
                <w:top w:val="none" w:sz="0" w:space="0" w:color="auto"/>
                <w:left w:val="none" w:sz="0" w:space="0" w:color="auto"/>
                <w:bottom w:val="none" w:sz="0" w:space="0" w:color="auto"/>
                <w:right w:val="none" w:sz="0" w:space="0" w:color="auto"/>
              </w:divBdr>
            </w:div>
            <w:div w:id="1681422352">
              <w:marLeft w:val="0"/>
              <w:marRight w:val="0"/>
              <w:marTop w:val="0"/>
              <w:marBottom w:val="0"/>
              <w:divBdr>
                <w:top w:val="none" w:sz="0" w:space="0" w:color="auto"/>
                <w:left w:val="none" w:sz="0" w:space="0" w:color="auto"/>
                <w:bottom w:val="none" w:sz="0" w:space="0" w:color="auto"/>
                <w:right w:val="none" w:sz="0" w:space="0" w:color="auto"/>
              </w:divBdr>
            </w:div>
            <w:div w:id="646252610">
              <w:marLeft w:val="0"/>
              <w:marRight w:val="0"/>
              <w:marTop w:val="0"/>
              <w:marBottom w:val="0"/>
              <w:divBdr>
                <w:top w:val="none" w:sz="0" w:space="0" w:color="auto"/>
                <w:left w:val="none" w:sz="0" w:space="0" w:color="auto"/>
                <w:bottom w:val="none" w:sz="0" w:space="0" w:color="auto"/>
                <w:right w:val="none" w:sz="0" w:space="0" w:color="auto"/>
              </w:divBdr>
            </w:div>
            <w:div w:id="140117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log.gov.ru/rn77/about_fts/docs/1393658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log.gov.ru/rn66/about_fts/docs/1296459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log.gov.ru/rn77/about_fts/docs/13178626/" TargetMode="External"/><Relationship Id="rId11" Type="http://schemas.openxmlformats.org/officeDocument/2006/relationships/hyperlink" Target="https://www.nalog.gov.ru/rn77/about_fts/docs/14141868/" TargetMode="External"/><Relationship Id="rId5" Type="http://schemas.openxmlformats.org/officeDocument/2006/relationships/hyperlink" Target="https://www.nalog.gov.ru/rn77/taxation/debt/memo_amounts_taxes/" TargetMode="External"/><Relationship Id="rId10" Type="http://schemas.openxmlformats.org/officeDocument/2006/relationships/hyperlink" Target="https://base.garant.ru/408305289/" TargetMode="External"/><Relationship Id="rId4" Type="http://schemas.openxmlformats.org/officeDocument/2006/relationships/webSettings" Target="webSettings.xml"/><Relationship Id="rId9" Type="http://schemas.openxmlformats.org/officeDocument/2006/relationships/hyperlink" Target="https://base.garant.ru/408098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5158</Words>
  <Characters>29405</Characters>
  <Application>Microsoft Office Word</Application>
  <DocSecurity>0</DocSecurity>
  <Lines>245</Lines>
  <Paragraphs>68</Paragraphs>
  <ScaleCrop>false</ScaleCrop>
  <Company/>
  <LinksUpToDate>false</LinksUpToDate>
  <CharactersWithSpaces>34495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economica</dc:creator>
  <cp:lastModifiedBy>economica</cp:lastModifiedBy>
  <cp:revision>1</cp:revision>
  <cp:lastPrinted>2024-03-29T11:34:00Z</cp:lastPrinted>
  <dcterms:created xsi:type="dcterms:W3CDTF">2024-03-29T11:32:00Z</dcterms:created>
  <dcterms:modified xsi:type="dcterms:W3CDTF">2024-03-29T11:34:00Z</dcterms:modified>
</cp:coreProperties>
</file>