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D9" w:rsidRPr="00EE1ED9" w:rsidRDefault="00EE1ED9" w:rsidP="00EE1ED9">
      <w:pPr>
        <w:shd w:val="clear" w:color="auto" w:fill="FFFFFF"/>
        <w:spacing w:after="0" w:line="480" w:lineRule="atLeast"/>
        <w:textAlignment w:val="baseline"/>
        <w:outlineLvl w:val="2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EE1ED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Повысили НДФЛ и изменили налоговые вычеты</w:t>
      </w:r>
    </w:p>
    <w:p w:rsidR="00EE1ED9" w:rsidRPr="00EE1ED9" w:rsidRDefault="00EE1ED9" w:rsidP="00EE1ED9">
      <w:pPr>
        <w:shd w:val="clear" w:color="auto" w:fill="FFFFFF"/>
        <w:spacing w:after="0" w:line="360" w:lineRule="atLeast"/>
        <w:textAlignment w:val="baseline"/>
        <w:outlineLvl w:val="3"/>
        <w:rPr>
          <w:rFonts w:ascii="Tahoma" w:eastAsia="Times New Roman" w:hAnsi="Tahoma" w:cs="Tahoma"/>
          <w:color w:val="333333"/>
          <w:sz w:val="30"/>
          <w:szCs w:val="30"/>
          <w:lang w:eastAsia="ru-RU"/>
        </w:rPr>
      </w:pPr>
      <w:r w:rsidRPr="00EE1ED9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Ставка НДФЛ зависит от дохода</w:t>
      </w:r>
    </w:p>
    <w:p w:rsidR="00EE1ED9" w:rsidRPr="00EE1ED9" w:rsidRDefault="00EE1ED9" w:rsidP="00EE1ED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EE1ED9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С 1 января 2025 года ставка НДФЛ стала выше и зависит от размера дохода.</w:t>
      </w:r>
    </w:p>
    <w:tbl>
      <w:tblPr>
        <w:tblW w:w="12510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6255"/>
      </w:tblGrid>
      <w:tr w:rsidR="00EE1ED9" w:rsidRPr="00EE1ED9" w:rsidTr="00EE1ED9">
        <w:trPr>
          <w:tblHeader/>
        </w:trPr>
        <w:tc>
          <w:tcPr>
            <w:tcW w:w="5873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E1ED9" w:rsidRPr="00EE1ED9" w:rsidRDefault="00EE1ED9" w:rsidP="00EE1ED9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3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E1ED9" w:rsidRPr="00EE1ED9" w:rsidRDefault="00EE1ED9" w:rsidP="00EE1ED9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С 2025 года</w:t>
            </w:r>
          </w:p>
        </w:tc>
      </w:tr>
      <w:tr w:rsidR="00EE1ED9" w:rsidRPr="00EE1ED9" w:rsidTr="00EE1ED9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НДФЛ — 13%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textAlignment w:val="baseline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13% — на доход до 2,4 млн ₽</w:t>
            </w:r>
          </w:p>
          <w:p w:rsidR="00EE1ED9" w:rsidRPr="00EE1ED9" w:rsidRDefault="00EE1ED9" w:rsidP="00EE1ED9">
            <w:pPr>
              <w:spacing w:after="0" w:line="330" w:lineRule="atLeast"/>
              <w:textAlignment w:val="baseline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15% — на доход от 2,4 до 5 млн ₽</w:t>
            </w:r>
          </w:p>
          <w:p w:rsidR="00EE1ED9" w:rsidRPr="00EE1ED9" w:rsidRDefault="00EE1ED9" w:rsidP="00EE1ED9">
            <w:pPr>
              <w:spacing w:after="0" w:line="330" w:lineRule="atLeast"/>
              <w:textAlignment w:val="baseline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18–22% — на доход выше 5 млн ₽</w:t>
            </w:r>
          </w:p>
        </w:tc>
      </w:tr>
    </w:tbl>
    <w:p w:rsidR="00EE1ED9" w:rsidRPr="00EE1ED9" w:rsidRDefault="00EE1ED9" w:rsidP="00EE1ED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EE1ED9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Плюс увеличили единую предельную базу для исчисления страховых взносов с 2,225 тыс. до 2,759 </w:t>
      </w:r>
      <w:proofErr w:type="gramStart"/>
      <w:r w:rsidRPr="00EE1ED9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тыс. ₽.</w:t>
      </w:r>
      <w:proofErr w:type="gramEnd"/>
      <w:r w:rsidRPr="00EE1ED9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 Подробнее читайте </w:t>
      </w:r>
      <w:hyperlink r:id="rId4" w:history="1">
        <w:r w:rsidRPr="00EE1ED9">
          <w:rPr>
            <w:rFonts w:ascii="Tahoma" w:eastAsia="Times New Roman" w:hAnsi="Tahoma" w:cs="Tahoma"/>
            <w:color w:val="666666"/>
            <w:sz w:val="27"/>
            <w:szCs w:val="27"/>
            <w:bdr w:val="none" w:sz="0" w:space="0" w:color="auto" w:frame="1"/>
            <w:lang w:eastAsia="ru-RU"/>
          </w:rPr>
          <w:t>в статье для бухгалтерии</w:t>
        </w:r>
      </w:hyperlink>
      <w:r w:rsidRPr="00EE1ED9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.</w:t>
      </w:r>
    </w:p>
    <w:p w:rsidR="00EE1ED9" w:rsidRPr="00EE1ED9" w:rsidRDefault="00EE1ED9" w:rsidP="00EE1ED9">
      <w:pPr>
        <w:shd w:val="clear" w:color="auto" w:fill="FFFFFF"/>
        <w:spacing w:after="0" w:line="360" w:lineRule="atLeast"/>
        <w:textAlignment w:val="baseline"/>
        <w:outlineLvl w:val="3"/>
        <w:rPr>
          <w:rFonts w:ascii="Tahoma" w:eastAsia="Times New Roman" w:hAnsi="Tahoma" w:cs="Tahoma"/>
          <w:color w:val="333333"/>
          <w:sz w:val="30"/>
          <w:szCs w:val="30"/>
          <w:lang w:eastAsia="ru-RU"/>
        </w:rPr>
      </w:pPr>
      <w:r w:rsidRPr="00EE1ED9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Вычеты на детей платят без заявления</w:t>
      </w:r>
    </w:p>
    <w:p w:rsidR="00EE1ED9" w:rsidRPr="00EE1ED9" w:rsidRDefault="00EE1ED9" w:rsidP="00EE1ED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EE1ED9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Как вы знаете, налоговый вычет позволяет часть заработной платы не облагать НДФЛ. Бывают вычеты на покупку недвижимости, обучение, лечение и стандартные (на детей, детей</w:t>
      </w:r>
      <w:r w:rsidRPr="00EE1ED9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noBreakHyphen/>
        <w:t>инвалидов, для инвалидов, чернобыльцев и т.д.). Их можно получить у работодателя или в налоговой инспекции.</w:t>
      </w:r>
    </w:p>
    <w:p w:rsidR="00EE1ED9" w:rsidRPr="00EE1ED9" w:rsidRDefault="00EE1ED9" w:rsidP="00EE1ED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EE1ED9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Раньше для получения вычета на детей работник был обязан писать заявление работодателю каждый год. С 2025 года произошло </w:t>
      </w:r>
      <w:proofErr w:type="gramStart"/>
      <w:r w:rsidRPr="00EE1ED9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изменение законодательства</w:t>
      </w:r>
      <w:proofErr w:type="gramEnd"/>
      <w:r w:rsidRPr="00EE1ED9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 и работник может не писать заявление. Но он обязан предоставить хотя бы 1 раз документы, подтверждающие его право на вычет: свидетельство о рождении ребенка, справку об инвалидности, иное.</w:t>
      </w:r>
    </w:p>
    <w:p w:rsidR="00EE1ED9" w:rsidRPr="00EE1ED9" w:rsidRDefault="00EE1ED9" w:rsidP="00EE1ED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EE1ED9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Что делать.</w:t>
      </w:r>
      <w:r w:rsidRPr="00EE1ED9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 Замените заявления на сопроводительные письма и собирайте их у работника не каждый год, а только при приеме на работу, рождении ребенка. Или </w:t>
      </w:r>
      <w:hyperlink r:id="rId5" w:tgtFrame="_self" w:history="1">
        <w:r w:rsidRPr="00EE1ED9">
          <w:rPr>
            <w:rFonts w:ascii="Tahoma" w:eastAsia="Times New Roman" w:hAnsi="Tahoma" w:cs="Tahoma"/>
            <w:color w:val="666666"/>
            <w:sz w:val="27"/>
            <w:szCs w:val="27"/>
            <w:bdr w:val="none" w:sz="0" w:space="0" w:color="auto" w:frame="1"/>
            <w:lang w:eastAsia="ru-RU"/>
          </w:rPr>
          <w:t xml:space="preserve">подключите </w:t>
        </w:r>
        <w:proofErr w:type="spellStart"/>
        <w:r w:rsidRPr="00EE1ED9">
          <w:rPr>
            <w:rFonts w:ascii="Tahoma" w:eastAsia="Times New Roman" w:hAnsi="Tahoma" w:cs="Tahoma"/>
            <w:color w:val="666666"/>
            <w:sz w:val="27"/>
            <w:szCs w:val="27"/>
            <w:bdr w:val="none" w:sz="0" w:space="0" w:color="auto" w:frame="1"/>
            <w:lang w:eastAsia="ru-RU"/>
          </w:rPr>
          <w:t>Saby</w:t>
        </w:r>
        <w:proofErr w:type="spellEnd"/>
      </w:hyperlink>
      <w:r w:rsidRPr="00EE1ED9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, чтобы не собирать бумаги, а предоставлять вычеты за пару кликов.</w:t>
      </w:r>
    </w:p>
    <w:p w:rsidR="00EE1ED9" w:rsidRPr="00EE1ED9" w:rsidRDefault="00EE1ED9" w:rsidP="00EE1ED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EE1ED9">
        <w:rPr>
          <w:rFonts w:ascii="Tahoma" w:eastAsia="Times New Roman" w:hAnsi="Tahoma" w:cs="Tahoma"/>
          <w:noProof/>
          <w:color w:val="0000F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9233186" wp14:editId="35A71D42">
            <wp:extent cx="1426210" cy="2048510"/>
            <wp:effectExtent l="0" t="0" r="2540" b="8890"/>
            <wp:docPr id="1" name="Рисунок 1" descr="https://cdn2.saby.ru/static/resources/ArticlesJournal/StaffChanges/resources/images/preview3.png?x_module=cf321cdbfcdc1ed8baeae768f6121278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saby.ru/static/resources/ArticlesJournal/StaffChanges/resources/images/preview3.png?x_module=cf321cdbfcdc1ed8baeae768f6121278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ED9" w:rsidRPr="00EE1ED9" w:rsidRDefault="00EE1ED9" w:rsidP="00EE1ED9">
      <w:pPr>
        <w:shd w:val="clear" w:color="auto" w:fill="FFFFFF"/>
        <w:spacing w:line="330" w:lineRule="atLeast"/>
        <w:jc w:val="center"/>
        <w:textAlignment w:val="baseline"/>
        <w:rPr>
          <w:rFonts w:ascii="inherit" w:eastAsia="Times New Roman" w:hAnsi="inherit" w:cs="Tahoma"/>
          <w:color w:val="666666"/>
          <w:sz w:val="24"/>
          <w:szCs w:val="24"/>
          <w:lang w:eastAsia="ru-RU"/>
        </w:rPr>
      </w:pPr>
      <w:hyperlink r:id="rId8" w:tgtFrame="_blank" w:history="1">
        <w:r w:rsidRPr="00EE1ED9">
          <w:rPr>
            <w:rFonts w:ascii="inherit" w:eastAsia="Times New Roman" w:hAnsi="inherit" w:cs="Tahoma"/>
            <w:color w:val="666666"/>
            <w:sz w:val="24"/>
            <w:szCs w:val="24"/>
            <w:bdr w:val="none" w:sz="0" w:space="0" w:color="auto" w:frame="1"/>
            <w:lang w:eastAsia="ru-RU"/>
          </w:rPr>
          <w:t>Сопроводительное письмо на вычет на детей</w:t>
        </w:r>
      </w:hyperlink>
    </w:p>
    <w:p w:rsidR="00EE1ED9" w:rsidRPr="00EE1ED9" w:rsidRDefault="00EE1ED9" w:rsidP="00EE1ED9">
      <w:pPr>
        <w:shd w:val="clear" w:color="auto" w:fill="FFFFFF"/>
        <w:spacing w:after="0" w:line="360" w:lineRule="atLeast"/>
        <w:textAlignment w:val="baseline"/>
        <w:outlineLvl w:val="3"/>
        <w:rPr>
          <w:rFonts w:ascii="Tahoma" w:eastAsia="Times New Roman" w:hAnsi="Tahoma" w:cs="Tahoma"/>
          <w:color w:val="333333"/>
          <w:sz w:val="30"/>
          <w:szCs w:val="30"/>
          <w:lang w:eastAsia="ru-RU"/>
        </w:rPr>
      </w:pPr>
      <w:r w:rsidRPr="00EE1ED9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Вычеты на второго и последующих детей увеличили в 2 раза</w:t>
      </w:r>
    </w:p>
    <w:tbl>
      <w:tblPr>
        <w:tblW w:w="12510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4066"/>
        <w:gridCol w:w="4066"/>
      </w:tblGrid>
      <w:tr w:rsidR="00EE1ED9" w:rsidRPr="00EE1ED9" w:rsidTr="00EE1ED9">
        <w:trPr>
          <w:tblHeader/>
        </w:trPr>
        <w:tc>
          <w:tcPr>
            <w:tcW w:w="37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E1ED9" w:rsidRPr="00EE1ED9" w:rsidRDefault="00EE1ED9" w:rsidP="00EE1ED9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Вид вычета</w:t>
            </w:r>
          </w:p>
        </w:tc>
        <w:tc>
          <w:tcPr>
            <w:tcW w:w="37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E1ED9" w:rsidRPr="00EE1ED9" w:rsidRDefault="00EE1ED9" w:rsidP="00EE1ED9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79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E1ED9" w:rsidRPr="00EE1ED9" w:rsidRDefault="00EE1ED9" w:rsidP="00EE1ED9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2025 год</w:t>
            </w:r>
          </w:p>
        </w:tc>
      </w:tr>
      <w:tr w:rsidR="00EE1ED9" w:rsidRPr="00EE1ED9" w:rsidTr="00EE1ED9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На первого ребенка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1 400</w:t>
            </w:r>
          </w:p>
        </w:tc>
      </w:tr>
      <w:tr w:rsidR="00EE1ED9" w:rsidRPr="00EE1ED9" w:rsidTr="00EE1ED9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На второго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2 800</w:t>
            </w:r>
          </w:p>
        </w:tc>
      </w:tr>
      <w:tr w:rsidR="00EE1ED9" w:rsidRPr="00EE1ED9" w:rsidTr="00EE1ED9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На третьего и каждого последующего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6 000</w:t>
            </w:r>
          </w:p>
        </w:tc>
      </w:tr>
      <w:tr w:rsidR="00EE1ED9" w:rsidRPr="00EE1ED9" w:rsidTr="00EE1ED9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На ребенка-инвалида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E1ED9" w:rsidRPr="00EE1ED9" w:rsidRDefault="00EE1ED9" w:rsidP="00EE1ED9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EE1ED9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12 000</w:t>
            </w:r>
          </w:p>
        </w:tc>
      </w:tr>
    </w:tbl>
    <w:p w:rsidR="00377BF8" w:rsidRDefault="00377BF8">
      <w:bookmarkStart w:id="0" w:name="_GoBack"/>
      <w:bookmarkEnd w:id="0"/>
    </w:p>
    <w:sectPr w:rsidR="0037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D9"/>
    <w:rsid w:val="00377BF8"/>
    <w:rsid w:val="00E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71B5-BF0B-47A7-8B43-D3A6770D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31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2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351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aby.ru/shared/disk/7a868885-021b-40d5-bfa8-5ba27d382cc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saby.ru/shared/disk/7a868885-021b-40d5-bfa8-5ba27d382cc9" TargetMode="External"/><Relationship Id="rId5" Type="http://schemas.openxmlformats.org/officeDocument/2006/relationships/hyperlink" Target="https://saby.ru/staff/ekdo?utm_source=saby_articles&amp;utm_medium=foc&amp;utm_campaign=sbis_articles_staff&amp;utm_content=izmeneniya_v_rabote_kadrovikov_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aby.ru/articles/accounting/kak_buhgalteru_podgotovitsya_k_2025_go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2025-05-30T12:49:00Z</cp:lastPrinted>
  <dcterms:created xsi:type="dcterms:W3CDTF">2025-05-30T12:48:00Z</dcterms:created>
  <dcterms:modified xsi:type="dcterms:W3CDTF">2025-05-30T12:49:00Z</dcterms:modified>
</cp:coreProperties>
</file>