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9D" w:rsidRPr="002D039D" w:rsidRDefault="002D039D" w:rsidP="002D039D">
      <w:pPr>
        <w:shd w:val="clear" w:color="auto" w:fill="FFFFFF"/>
        <w:spacing w:after="0" w:line="660" w:lineRule="atLeast"/>
        <w:textAlignment w:val="baseline"/>
        <w:outlineLvl w:val="1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  <w:r w:rsidRPr="002D039D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Зарплата и отчетность</w:t>
      </w:r>
    </w:p>
    <w:p w:rsidR="002D039D" w:rsidRPr="002D039D" w:rsidRDefault="002D039D" w:rsidP="002D039D">
      <w:pPr>
        <w:shd w:val="clear" w:color="auto" w:fill="FFFFFF"/>
        <w:spacing w:after="0" w:line="480" w:lineRule="atLeast"/>
        <w:textAlignment w:val="baseline"/>
        <w:outlineLvl w:val="2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2D039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Пересчитали МРОТ. Что вам с этим делать</w:t>
      </w:r>
    </w:p>
    <w:p w:rsidR="002D039D" w:rsidRPr="002D039D" w:rsidRDefault="002D039D" w:rsidP="002D039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2D039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Еще одно изменение трудового законодательства. С 1 января 2025 минимальный размер оплаты труда увеличили до </w:t>
      </w:r>
      <w:proofErr w:type="gramStart"/>
      <w:r w:rsidRPr="002D039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22440 ₽.</w:t>
      </w:r>
      <w:proofErr w:type="gramEnd"/>
      <w:r w:rsidRPr="002D039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 xml:space="preserve"> В 2024 году МРОТ был меньше — </w:t>
      </w:r>
      <w:proofErr w:type="gramStart"/>
      <w:r w:rsidRPr="002D039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19242 ₽.</w:t>
      </w:r>
      <w:proofErr w:type="gramEnd"/>
    </w:p>
    <w:p w:rsidR="002D039D" w:rsidRPr="002D039D" w:rsidRDefault="002D039D" w:rsidP="002D039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2D039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 xml:space="preserve">Это означает, что зарплату сотрудников надо проверить и увеличить. Иначе инспектор труда может выписать штраф работодателю по ч. 6 ст. 5.27 КоАП РФ: 10–20 </w:t>
      </w:r>
      <w:proofErr w:type="gramStart"/>
      <w:r w:rsidRPr="002D039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тысяч ₽ для</w:t>
      </w:r>
      <w:proofErr w:type="gramEnd"/>
      <w:r w:rsidRPr="002D039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 xml:space="preserve"> директора, 30–50 тысяч ₽ для организации.</w:t>
      </w:r>
    </w:p>
    <w:p w:rsidR="002D039D" w:rsidRPr="002D039D" w:rsidRDefault="002D039D" w:rsidP="002D039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2D039D">
        <w:rPr>
          <w:rFonts w:ascii="inherit" w:eastAsia="Times New Roman" w:hAnsi="inherit" w:cs="Tahoma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Какую сумму сравнивать с МРОТ.</w:t>
      </w:r>
      <w:r w:rsidRPr="002D039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 Оклад может быть меньше МРОТ. Поскольку с размером МРОТ сравнивают не оклад, а зарплату. То есть и оклад, и премии, и доплаты, и надбавки.</w:t>
      </w:r>
    </w:p>
    <w:p w:rsidR="002D039D" w:rsidRPr="002D039D" w:rsidRDefault="002D039D" w:rsidP="002D039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2D039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Не учитывают только следующие суммы:</w:t>
      </w:r>
    </w:p>
    <w:p w:rsidR="002D039D" w:rsidRPr="002D039D" w:rsidRDefault="002D039D" w:rsidP="002D03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2D039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Выплаченные за работу сверх нормальной продолжительности рабочего дня, ночную, в выходные и праздники. Это соответствует позиции Конституционного суда в Постановлении </w:t>
      </w:r>
      <w:hyperlink r:id="rId5" w:tgtFrame="_blank" w:history="1">
        <w:r w:rsidRPr="002D039D">
          <w:rPr>
            <w:rFonts w:ascii="Tahoma" w:eastAsia="Times New Roman" w:hAnsi="Tahoma" w:cs="Tahoma"/>
            <w:color w:val="666666"/>
            <w:sz w:val="27"/>
            <w:szCs w:val="27"/>
            <w:bdr w:val="none" w:sz="0" w:space="0" w:color="auto" w:frame="1"/>
            <w:lang w:eastAsia="ru-RU"/>
          </w:rPr>
          <w:t>от 16.12.2019</w:t>
        </w:r>
      </w:hyperlink>
      <w:r w:rsidRPr="002D039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 № 40-П.</w:t>
      </w:r>
    </w:p>
    <w:p w:rsidR="002D039D" w:rsidRPr="002D039D" w:rsidRDefault="002D039D" w:rsidP="002D03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2D039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Районные коэффициенты и северные надбавки за работу в Магадане, Мурманске, иных местностях Крайнего Севера и приравненных к ним, согласно </w:t>
      </w:r>
      <w:hyperlink r:id="rId6" w:anchor="block_1000" w:tgtFrame="_blank" w:history="1">
        <w:r w:rsidRPr="002D039D">
          <w:rPr>
            <w:rFonts w:ascii="Tahoma" w:eastAsia="Times New Roman" w:hAnsi="Tahoma" w:cs="Tahoma"/>
            <w:color w:val="666666"/>
            <w:sz w:val="27"/>
            <w:szCs w:val="27"/>
            <w:bdr w:val="none" w:sz="0" w:space="0" w:color="auto" w:frame="1"/>
            <w:lang w:eastAsia="ru-RU"/>
          </w:rPr>
          <w:t>единому перечню районов Крайнего Севера</w:t>
        </w:r>
      </w:hyperlink>
      <w:r w:rsidRPr="002D039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.</w:t>
      </w:r>
    </w:p>
    <w:p w:rsidR="002D039D" w:rsidRPr="002D039D" w:rsidRDefault="002D039D" w:rsidP="002D039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2D039D">
        <w:rPr>
          <w:rFonts w:ascii="inherit" w:eastAsia="Times New Roman" w:hAnsi="inherit" w:cs="Tahoma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Когда зарплата может быть меньше МРОТ.</w:t>
      </w:r>
      <w:r w:rsidRPr="002D039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 Зарплата может быть меньше МРОТ при неполном рабочем дне, после удержания НДФЛ, после удержаний по исполнительным листам.</w:t>
      </w:r>
    </w:p>
    <w:p w:rsidR="002D039D" w:rsidRPr="002D039D" w:rsidRDefault="002D039D" w:rsidP="002D039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2D039D">
        <w:rPr>
          <w:rFonts w:ascii="inherit" w:eastAsia="Times New Roman" w:hAnsi="inherit" w:cs="Tahoma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Какие документы оформить кадровику для увеличения МРОТ.</w:t>
      </w:r>
      <w:r w:rsidRPr="002D039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 Если зарплата меньше МРОТ, нужно ее увеличить, а за прошедшие месяцы — доплатить до МРОТ. Для этого кадровику придется оформить:</w:t>
      </w:r>
    </w:p>
    <w:p w:rsidR="002D039D" w:rsidRPr="002D039D" w:rsidRDefault="002D039D" w:rsidP="002D039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2D039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Приказ о доплате до МРОТ;</w:t>
      </w:r>
    </w:p>
    <w:p w:rsidR="002D039D" w:rsidRPr="002D039D" w:rsidRDefault="002D039D" w:rsidP="002D039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2D039D">
        <w:rPr>
          <w:rFonts w:ascii="Tahoma" w:eastAsia="Times New Roman" w:hAnsi="Tahoma" w:cs="Tahoma"/>
          <w:noProof/>
          <w:color w:val="666666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CE1A058" wp14:editId="204A0C4F">
                <wp:extent cx="307340" cy="307340"/>
                <wp:effectExtent l="0" t="0" r="0" b="0"/>
                <wp:docPr id="3" name="AutoShape 3" descr="https://saby.ru/static/resources/ArticlesJournal/templates/Info/info.svg?x_module=cf321cdbfcdc1ed8baeae768f6121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F3994" id="AutoShape 3" o:spid="_x0000_s1026" alt="https://saby.ru/static/resources/ArticlesJournal/templates/Info/info.svg?x_module=cf321cdbfcdc1ed8baeae768f6121278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2D039D" w:rsidRPr="002D039D" w:rsidRDefault="002D039D" w:rsidP="002D039D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ahoma"/>
          <w:color w:val="8991A9"/>
          <w:sz w:val="23"/>
          <w:szCs w:val="23"/>
          <w:lang w:eastAsia="ru-RU"/>
        </w:rPr>
      </w:pPr>
      <w:r w:rsidRPr="002D039D">
        <w:rPr>
          <w:rFonts w:ascii="inherit" w:eastAsia="Times New Roman" w:hAnsi="inherit" w:cs="Tahoma"/>
          <w:color w:val="8991A9"/>
          <w:sz w:val="23"/>
          <w:szCs w:val="23"/>
          <w:lang w:eastAsia="ru-RU"/>
        </w:rPr>
        <w:t xml:space="preserve">Пример формулировки: «Работникам, полностью отработавшим рабочее время и выполнившим норму, оплату труда производить из расчета </w:t>
      </w:r>
      <w:proofErr w:type="gramStart"/>
      <w:r w:rsidRPr="002D039D">
        <w:rPr>
          <w:rFonts w:ascii="inherit" w:eastAsia="Times New Roman" w:hAnsi="inherit" w:cs="Tahoma"/>
          <w:color w:val="8991A9"/>
          <w:sz w:val="23"/>
          <w:szCs w:val="23"/>
          <w:lang w:eastAsia="ru-RU"/>
        </w:rPr>
        <w:t>22440 ₽»</w:t>
      </w:r>
      <w:proofErr w:type="gramEnd"/>
      <w:r w:rsidRPr="002D039D">
        <w:rPr>
          <w:rFonts w:ascii="inherit" w:eastAsia="Times New Roman" w:hAnsi="inherit" w:cs="Tahoma"/>
          <w:color w:val="8991A9"/>
          <w:sz w:val="23"/>
          <w:szCs w:val="23"/>
          <w:lang w:eastAsia="ru-RU"/>
        </w:rPr>
        <w:t>.</w:t>
      </w:r>
    </w:p>
    <w:p w:rsidR="002D039D" w:rsidRPr="002D039D" w:rsidRDefault="002D039D" w:rsidP="002D039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2D039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Штатное расписание;</w:t>
      </w:r>
    </w:p>
    <w:p w:rsidR="002D039D" w:rsidRPr="002D039D" w:rsidRDefault="002D039D" w:rsidP="002D039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2D039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Доп. соглашение к Трудовому договору с новым размером зарплаты с учетом МРОТ.</w:t>
      </w:r>
    </w:p>
    <w:p w:rsidR="002D039D" w:rsidRPr="002D039D" w:rsidRDefault="002D039D" w:rsidP="002D039D">
      <w:pPr>
        <w:shd w:val="clear" w:color="auto" w:fill="FFFFFF"/>
        <w:spacing w:after="0" w:line="480" w:lineRule="atLeast"/>
        <w:textAlignment w:val="baseline"/>
        <w:outlineLvl w:val="2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2D039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Ввели компенсацию при увольнении за неиспользованные отгулы</w:t>
      </w:r>
    </w:p>
    <w:p w:rsidR="002D039D" w:rsidRPr="002D039D" w:rsidRDefault="002D039D" w:rsidP="002D039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2D039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По ст. 153 ТК РФ работник, отработавший в выходной или праздник, имеет право выбрать двойную оплату за такой день или одинарную оплату и отгул. Раньше была неопределенность, как действовать работодателю, если работник не использовал отгул и уволился. Работодатели отгулы не компенсировали.</w:t>
      </w:r>
    </w:p>
    <w:p w:rsidR="002D039D" w:rsidRPr="002D039D" w:rsidRDefault="002D039D" w:rsidP="002D039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2D039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lastRenderedPageBreak/>
        <w:t>С 1 марта 2025 года неопределенность устранена — в статью 153 Трудового кодекса внесли изменения во исполнение Постановления Конституционного суда от 06.12.2023 № 56-П.</w:t>
      </w:r>
    </w:p>
    <w:p w:rsidR="002D039D" w:rsidRPr="002D039D" w:rsidRDefault="002D039D" w:rsidP="002D039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2D039D">
        <w:rPr>
          <w:rFonts w:ascii="inherit" w:eastAsia="Times New Roman" w:hAnsi="inherit" w:cs="Tahoma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Что делать.</w:t>
      </w:r>
      <w:r w:rsidRPr="002D039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 Предоставлять отгул в течение года либо доплачивать до двойной оплаты при увольнении.</w:t>
      </w:r>
    </w:p>
    <w:p w:rsidR="002D039D" w:rsidRPr="002D039D" w:rsidRDefault="002D039D" w:rsidP="002D039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2D039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Согласно новой редакции ст. 153 ТК РФ работник имеет право получить отгул в течение года с момента работы в выходной или праздник. Если он это право не реализовал, тогда отгул предоставлять не нужно. Но при увольнении работнику нужно выплатить разницу между полагавшейся ему двойной оплатой и фактически выплаченной одинарной оплатой.</w:t>
      </w:r>
    </w:p>
    <w:p w:rsidR="000E2CA2" w:rsidRDefault="000E2CA2">
      <w:bookmarkStart w:id="0" w:name="_GoBack"/>
      <w:bookmarkEnd w:id="0"/>
    </w:p>
    <w:sectPr w:rsidR="000E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00D2"/>
    <w:multiLevelType w:val="multilevel"/>
    <w:tmpl w:val="694C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DA64B4"/>
    <w:multiLevelType w:val="multilevel"/>
    <w:tmpl w:val="5638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9D"/>
    <w:rsid w:val="000E2CA2"/>
    <w:rsid w:val="002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FA1E2-11AC-48DF-BB33-FBFE0594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0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3069486/?utm_source=sbis/" TargetMode="External"/><Relationship Id="rId5" Type="http://schemas.openxmlformats.org/officeDocument/2006/relationships/hyperlink" Target="https://base.garant.ru/73226881/?utm_source=sb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2025-05-30T12:50:00Z</cp:lastPrinted>
  <dcterms:created xsi:type="dcterms:W3CDTF">2025-05-30T12:50:00Z</dcterms:created>
  <dcterms:modified xsi:type="dcterms:W3CDTF">2025-05-30T12:50:00Z</dcterms:modified>
</cp:coreProperties>
</file>