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E1" w:rsidRPr="004B73E1" w:rsidRDefault="004B73E1" w:rsidP="004B73E1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bookmarkStart w:id="0" w:name="_GoBack"/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 xml:space="preserve">Основополагающие </w:t>
      </w:r>
      <w:proofErr w:type="gramStart"/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нормативные правовые акты</w:t>
      </w:r>
      <w:proofErr w:type="gramEnd"/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 xml:space="preserve"> регламентирующие проведение контрольной (надзорной) деятельности</w:t>
      </w:r>
    </w:p>
    <w:bookmarkEnd w:id="0"/>
    <w:p w:rsid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01.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4B73E1">
          <w:rPr>
            <w:rFonts w:ascii="Montserrat" w:eastAsia="Times New Roman" w:hAnsi="Montserrat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ru-RU"/>
          </w:rPr>
          <w:t>Федеральный закон от 31 июля 2020 г. № 248-ФЗ «О государственном контроле (надзоре) и муниципальном контроле в Российской Федерации»</w:t>
        </w:r>
      </w:hyperlink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Закон предусматривает следующие основные положения.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Основой контрольной (надзорной) деятельности становится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управление рисками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 Государственный контроль (надзор) должен осуществляться на основе оценки рисков причинения вреда и работы с информацией о подконтрольной среде.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Закон направлен на то, чтобы предотвращение нарушений закона превалировало над наказанием.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Профилактика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уже стала важной и неотъемлемой частью контроля. Цель профилактики – проинформировать контролируемых лиц об обязательных требованиях, дать возможность получить разъяснения по ним, предостеречь от их нарушения.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Закон ориентирует контрольные (надзорные) органы на защиту охраняемых ценностей.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Система оценки контролеров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, основанная на количестве проведенных проверок и взысканных штрафов, должна уйти в прошлое. Деятельность контролера будет оцениваться в зависимости от уровня защиты охраняемых ценностей, минимизации ущерба в сфере общественных отношений.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Важнейшим принципом современной контрольной (надзорной) деятельности должно быть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 xml:space="preserve">широкое применение </w:t>
      </w:r>
      <w:proofErr w:type="spellStart"/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цифровизации</w:t>
      </w:r>
      <w:proofErr w:type="spellEnd"/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 Закон предусматривает перевод деятельности контрольных (надзорных) органов на цифровую основу.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Закон предусматривает широкий набор инструментов по контролю, которые применяются контрольными (надзорными) органами в зависимости от оценки риска.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Устанавливается:</w:t>
      </w:r>
    </w:p>
    <w:p w:rsidR="004B73E1" w:rsidRPr="004B73E1" w:rsidRDefault="004B73E1" w:rsidP="004B73E1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9 видов контрольных (надзорных) мероприятий,</w:t>
      </w:r>
    </w:p>
    <w:p w:rsidR="004B73E1" w:rsidRPr="004B73E1" w:rsidRDefault="004B73E1" w:rsidP="004B73E1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10 видов контрольных (надзорных) действий.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Контрольные (надзорные) мероприятия составляются из контрольных (надзорных) действий, и Закон устанавливает их исчерпывающий перечень.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02.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Pr="004B73E1">
          <w:rPr>
            <w:rFonts w:ascii="Montserrat" w:eastAsia="Times New Roman" w:hAnsi="Montserrat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ru-RU"/>
          </w:rPr>
          <w:t>Федеральный закон от 11.06.2021 N 170-ФЗ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Федерации»</w:t>
        </w:r>
      </w:hyperlink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Главной целью закона является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приведение положений федеральных законов в соответствие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с Федеральным законом от 31 июля 2020 г. №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Основное содержание закона составляют статьи, вносящие изменения в федеральные законы, в соответствии с которыми осуществляются виды федерального государственного контроля (надзора), виды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регионального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государственного контроля (надзора), виды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муниципального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контроля (далее – федеральные законы о видах контроля). Указанные федеральные законы приводятся в соответствие с положениями Федерального закона № 248-ФЗ, который вступил в силу с 1 июля 2021 г.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Новыми редакциями статей для каждого вида контроля устанавливается его наименование с указанием отнесения к федеральному государственному контролю (надзору), региональному государственному контролю (надзору), муниципальному контролю. По каждому из видов контроля устанавливается его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предмет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– как совокупность обязательных требований, частью которых могут быть лицензионные требования.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03.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4B73E1">
          <w:rPr>
            <w:rFonts w:ascii="Montserrat" w:eastAsia="Times New Roman" w:hAnsi="Montserrat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ru-RU"/>
          </w:rPr>
          <w:t>Постановление Правительства РФ от 7 декабря 2020 г.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</w:r>
      </w:hyperlink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Постановлением устанавливаются порядок и сроки подготовки контрольными (надзорными) органами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ежегодных докладов о видах контроля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, а также базовый перечень сведений, которые должны быть включены в такие доклады.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04.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4B73E1">
          <w:rPr>
            <w:rFonts w:ascii="Montserrat" w:eastAsia="Times New Roman" w:hAnsi="Montserrat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ru-RU"/>
          </w:rPr>
          <w:t>Постановление Правительства РФ от 21 апреля 2018 г. № 482 «О государственной информационной системе "Типовое облачное решение по автоматизации контрольной (надзорной) деятельности»</w:t>
        </w:r>
      </w:hyperlink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Постановлением предусмотрено определение функционала государственной информационной системы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«Типовое облачное решение по автоматизации контрольной (надзорной) деятельности»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и Правил ведения подсистемы досудебного обжалования.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05.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4B73E1">
          <w:rPr>
            <w:rFonts w:ascii="Montserrat" w:eastAsia="Times New Roman" w:hAnsi="Montserrat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ru-RU"/>
          </w:rPr>
          <w:t>Постановление Правительства РФ от 29 декабря 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</w:t>
        </w:r>
      </w:hyperlink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Постановление устанавливает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порядок аттестации экспертов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, привлекаемых контрольными (надзорными) органами к осуществлению экспертизы.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06.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10" w:tgtFrame="_blank" w:history="1">
        <w:r w:rsidRPr="004B73E1">
          <w:rPr>
            <w:rFonts w:ascii="Montserrat" w:eastAsia="Times New Roman" w:hAnsi="Montserrat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ru-RU"/>
          </w:rPr>
          <w:t>Постановление Правительства РФ от 31 декабря 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</w:r>
      </w:hyperlink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Постановлением устанавливаются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правила формирования ежегодного плана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в том числе определяются контрольные (надзорные) органы, которые 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формируют ежегодные планы, перечень сведений, включаемых в проект ежегодного плана, случаи внесения изменений в ежегодный план.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Отдельно предусматриваются требования к согласованию ежегодного плана органами прокуратуры на предмет законности включения или </w:t>
      </w:r>
      <w:proofErr w:type="spellStart"/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невключения</w:t>
      </w:r>
      <w:proofErr w:type="spellEnd"/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него плановых контрольных (надзорных) мероприятий. Процесс формирования и согласования ежегодных планов осуществляется в электронном виде посредством единого реестра контрольных (надзорных) мероприятий.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Постановление подлежит применению, начиная с формирования ежегодных планов проведения плановых контрольных (надзорных) мероприятий на 2022 год.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07.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4B73E1">
          <w:rPr>
            <w:rFonts w:ascii="Montserrat" w:eastAsia="Times New Roman" w:hAnsi="Montserrat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ru-RU"/>
          </w:rPr>
          <w:t>Постановление Правительства РФ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</w:t>
        </w:r>
      </w:hyperlink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Постановлением предусмотрены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формы информационного взаимодействия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контрольных (надзорных) органов, требования к запросу, направляемому в рамках указанного взаимодействия, а также сроки предоставления информации по указанным запросам.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08.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12" w:tgtFrame="_blank" w:history="1">
        <w:r w:rsidRPr="004B73E1">
          <w:rPr>
            <w:rFonts w:ascii="Montserrat" w:eastAsia="Times New Roman" w:hAnsi="Montserrat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ru-RU"/>
          </w:rPr>
          <w:t>Постановление Правительства РФ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  </w:r>
      </w:hyperlink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Постановлением предусмотрено создание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Единого реестра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в качестве подсистемы федеральной государственной информационной системы «Федеральный реестр государственных и муниципальных услуг (функций)».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Правилами формирования и ведения реестра, утверждаемыми постановлением, определяются цель и задачи создания реестра, состав сведений и порядок из внесения в реестр, полномочия оператора реестра и контрольных (надзорных) органов.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(В ред. постановления Правительства Российской Федерации от 10 марта 2023 г. № 372)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09.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13" w:tgtFrame="_blank" w:history="1">
        <w:r w:rsidRPr="004B73E1">
          <w:rPr>
            <w:rFonts w:ascii="Montserrat" w:eastAsia="Times New Roman" w:hAnsi="Montserrat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ru-RU"/>
          </w:rPr>
          <w:t>Постановление Правительства РФ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</w:r>
      </w:hyperlink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Постановлением утверждаются Правила формирования и ведения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единого реестра контрольных (надзорных) мероприятий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(В ред. постановления Правительства Российской Федерации от 10 марта 2023 г. № 372)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10.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14" w:tgtFrame="_blank" w:history="1">
        <w:r w:rsidRPr="004B73E1">
          <w:rPr>
            <w:rFonts w:ascii="Montserrat" w:eastAsia="Times New Roman" w:hAnsi="Montserrat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ru-RU"/>
          </w:rPr>
          <w:t>Приказ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  </w:r>
      </w:hyperlink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Приказом утверждены типовые формы решений о проведении контрольных (надзорных) мероприятий, актов контрольных (надзорных) мероприятий и типовая форма предостережения о недопустимости нарушения обязательных требований.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11.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15" w:tgtFrame="_blank" w:history="1">
        <w:r w:rsidRPr="004B73E1">
          <w:rPr>
            <w:rFonts w:ascii="Montserrat" w:eastAsia="Times New Roman" w:hAnsi="Montserrat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ru-RU"/>
          </w:rPr>
          <w:t>Постановление Правительства Российской Федерации от 03.08.2021 № 1299 «Об утверждении Правил возмещения контролируемому лицу стоимости утраченной продукции (утраченных товаров) в ходе выездной проверки»</w:t>
        </w:r>
      </w:hyperlink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Постановлением утверждаются Правила, которые устанавливают случаи и порядок возмещения контрольным (надзорным) органом контролируемому лицу </w:t>
      </w:r>
      <w:proofErr w:type="gramStart"/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стоимости</w:t>
      </w:r>
      <w:proofErr w:type="gramEnd"/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утраченной в ходе выездной проверки продукции (товаров), если иное не установлено федеральным законом о виде федерального государственного контроля (надзора), виде регионального государственного контроля (надзора) по предметам совместного ведения Российской Федерации и субъектов Российской Федерации, виде муниципального контроля.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12.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16" w:tgtFrame="_blank" w:history="1">
        <w:r w:rsidRPr="004B73E1">
          <w:rPr>
            <w:rFonts w:ascii="Montserrat" w:eastAsia="Times New Roman" w:hAnsi="Montserrat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ru-RU"/>
          </w:rPr>
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</w:r>
      </w:hyperlink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Постановление принято в целях реализации положений пункта 2 части 1 статьи 18 Федерального закона «О внесении изменений в отдельные законодательные акты Российской Федерации», устанавливающего полномочия Правительства Российской Федерации в 2022 году принимать решения об особенностях организации и осуществления государственного контроля (надзора), муниципального контроля.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Постановлением устанавливаются ограничения на проведение в 2022 году контрольных (надзорных) мероприятий, проверок при осуществлении видов государственного контроля (надзора), муниципального контроля порядок организации и осуществления которых регулируются Федеральным законом от 31 июля 2020 г. № 248-ФЗ «О государственном контроле (надзоре) и муниципальном контроле в Российской Федерации» и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13.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17" w:tgtFrame="_blank" w:history="1">
        <w:r w:rsidRPr="004B73E1">
          <w:rPr>
            <w:rFonts w:ascii="Montserrat" w:eastAsia="Times New Roman" w:hAnsi="Montserrat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ru-RU"/>
          </w:rPr>
          <w:t>Постановление Правительства Российской Федерации от 24 марта 2022 г. № 448 «Об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</w:t>
        </w:r>
      </w:hyperlink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Постановление принято в рамках полномочий Правительства Российской Федерации в 2022 году по установлению особенностей организации и осуществления контроля в целях реализации положений абзаца пятого 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подпункта «г» пункта 1 Указа Президента Российской Федерации от 2 марта 2022 г. № 83 «О мерах по обеспечению ускоренного развития отрасли информационных технологий в Российской Федерации», предусматривающих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исключение осуществление видов контроля в отношении организаций, осуществляющих деятельность в области информационных технологий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Также постановлением предусматривается внесение изменений в постановление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в части установления ограничений на осуществление государственного контроля (надзора) за деятельностью органов государственной власти субъектов Российской Федерации и муниципалитетов.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14.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18" w:tgtFrame="_blank" w:history="1">
        <w:r w:rsidRPr="004B73E1">
          <w:rPr>
            <w:rFonts w:ascii="Montserrat" w:eastAsia="Times New Roman" w:hAnsi="Montserrat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ru-RU"/>
          </w:rPr>
          <w:t>Приказ Росстата от 24 июня 2022 г. № 466 «О внесении изменения в приказ Росстата от 21 декабря 2011 г.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</w:r>
      </w:hyperlink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 рамках реформы контрольной (надзорной) деятельности и лицензирования изданы приказы Росстата от 24 июня 2022 г. № 466 и от 27 июня 2022 г. № 472, в соответствии с которыми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начиная с 2022 года представление статистических данных по формам № 1-контроль и № 1-лицензирование не требуется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b/>
          <w:color w:val="000000"/>
          <w:sz w:val="27"/>
          <w:szCs w:val="27"/>
          <w:lang w:eastAsia="ru-RU"/>
        </w:rPr>
        <w:t>15.</w:t>
      </w:r>
    </w:p>
    <w:p w:rsidR="004B73E1" w:rsidRPr="004B73E1" w:rsidRDefault="004B73E1" w:rsidP="004B73E1">
      <w:pP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19" w:tgtFrame="_blank" w:history="1">
        <w:r w:rsidRPr="004B73E1">
          <w:rPr>
            <w:rFonts w:ascii="Montserrat" w:eastAsia="Times New Roman" w:hAnsi="Montserrat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ru-RU"/>
          </w:rPr>
          <w:t>Приказ Росстата от 27 июня 2022 г. № 472 «О приостановлении действия приказа Росстата от 30 марта 2012 г. № 103»</w:t>
        </w:r>
      </w:hyperlink>
    </w:p>
    <w:p w:rsidR="004B73E1" w:rsidRPr="004B73E1" w:rsidRDefault="004B73E1" w:rsidP="004B73E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 рамках реформы контрольной (надзорной) деятельности и лицензирования изданы приказы Росстата от 24 июня 2022 г. № 466 и от 27 июня 2022 г. № 472, в соответствии с которыми </w:t>
      </w:r>
      <w:r w:rsidRPr="004B73E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начиная с 2022 года представление статистических данных по формам № 1-контроль и № 1-лицензирование не требуется</w:t>
      </w:r>
      <w:r w:rsidRPr="004B73E1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:rsidR="00752BDC" w:rsidRDefault="00752BDC"/>
    <w:sectPr w:rsidR="0075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4834"/>
    <w:multiLevelType w:val="multilevel"/>
    <w:tmpl w:val="92A8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E1"/>
    <w:rsid w:val="004B73E1"/>
    <w:rsid w:val="0075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B201"/>
  <w15:chartTrackingRefBased/>
  <w15:docId w15:val="{14E001F2-276B-48D6-93DB-D50B82A3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3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3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44076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31580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60389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18363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divBdr>
                  <w:divsChild>
                    <w:div w:id="182643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526996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78789388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11256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591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520827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</w:divsChild>
                </w:div>
                <w:div w:id="10617587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98103797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91557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5538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1054351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</w:divsChild>
                </w:div>
                <w:div w:id="1809760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92086656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12231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52694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1752384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</w:divsChild>
                </w:div>
                <w:div w:id="16038748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2393263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27787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42382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589119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</w:divsChild>
                </w:div>
                <w:div w:id="10387060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64561939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95719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979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1910068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</w:divsChild>
                </w:div>
                <w:div w:id="3318390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5349715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03732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5109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506528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</w:divsChild>
                </w:div>
                <w:div w:id="1197232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7017081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02831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05100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1415004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</w:divsChild>
                </w:div>
                <w:div w:id="10586723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93475355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74436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3023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1720590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</w:divsChild>
                </w:div>
                <w:div w:id="1670906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43413865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72948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58317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988287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</w:divsChild>
                </w:div>
                <w:div w:id="4632817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771504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58958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3287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1353067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</w:divsChild>
                </w:div>
                <w:div w:id="8989750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32998792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11382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1589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570040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</w:divsChild>
                </w:div>
                <w:div w:id="6189226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12345074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74380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8939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725374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</w:divsChild>
                </w:div>
                <w:div w:id="179666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65602973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53505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29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604994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</w:divsChild>
                </w:div>
                <w:div w:id="13546521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8835974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6218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3242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1823036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</w:divsChild>
                </w:div>
                <w:div w:id="21427670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98339358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45101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74001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1450928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</w:divsChild>
                </w:div>
                <w:div w:id="15995628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930758/" TargetMode="External"/><Relationship Id="rId13" Type="http://schemas.openxmlformats.org/officeDocument/2006/relationships/hyperlink" Target="https://base.garant.ru/400665980/" TargetMode="External"/><Relationship Id="rId18" Type="http://schemas.openxmlformats.org/officeDocument/2006/relationships/hyperlink" Target="https://monitoring.gov.ru/storage/uploads/admin/114_29062022034548_%D0%9F%D1%80%D0%B8%D0%BA%D0%B0%D0%B7%20%D0%A0%D0%BE%D1%81%D1%81%D1%82%D0%B0%D1%82%D0%B0%20%E2%84%96%20466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ase.garant.ru/75030324/" TargetMode="External"/><Relationship Id="rId12" Type="http://schemas.openxmlformats.org/officeDocument/2006/relationships/hyperlink" Target="https://base.garant.ru/12191208/" TargetMode="External"/><Relationship Id="rId17" Type="http://schemas.openxmlformats.org/officeDocument/2006/relationships/hyperlink" Target="https://base.garant.ru/4037482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3681894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0889843/" TargetMode="External"/><Relationship Id="rId11" Type="http://schemas.openxmlformats.org/officeDocument/2006/relationships/hyperlink" Target="https://base.garant.ru/400431324/" TargetMode="External"/><Relationship Id="rId5" Type="http://schemas.openxmlformats.org/officeDocument/2006/relationships/hyperlink" Target="https://base.garant.ru/74449814/" TargetMode="External"/><Relationship Id="rId15" Type="http://schemas.openxmlformats.org/officeDocument/2006/relationships/hyperlink" Target="https://base.garant.ru/401587258/" TargetMode="External"/><Relationship Id="rId10" Type="http://schemas.openxmlformats.org/officeDocument/2006/relationships/hyperlink" Target="https://base.garant.ru/400170416/" TargetMode="External"/><Relationship Id="rId19" Type="http://schemas.openxmlformats.org/officeDocument/2006/relationships/hyperlink" Target="https://monitoring.gov.ru/storage/uploads/admin/114_29062022034822_%D0%9F%D1%80%D0%B8%D0%BA%D0%B0%D0%B7%20%D0%A0%D0%BE%D1%81%D1%81%D1%82%D0%B0%D1%82%D0%B0%20%E2%84%96%2047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0165486/" TargetMode="External"/><Relationship Id="rId14" Type="http://schemas.openxmlformats.org/officeDocument/2006/relationships/hyperlink" Target="https://base.garant.ru/4008395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2025-03-27T06:45:00Z</dcterms:created>
  <dcterms:modified xsi:type="dcterms:W3CDTF">2025-03-27T06:49:00Z</dcterms:modified>
</cp:coreProperties>
</file>