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B1F" w:rsidRDefault="001D2B1F" w:rsidP="000B50DB">
      <w:pPr>
        <w:spacing w:after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</w:t>
      </w:r>
    </w:p>
    <w:p w:rsidR="001D2B1F" w:rsidRPr="00794228" w:rsidRDefault="001D2B1F" w:rsidP="001D2B1F">
      <w:pPr>
        <w:jc w:val="center"/>
        <w:rPr>
          <w:b/>
        </w:rPr>
      </w:pPr>
      <w:r w:rsidRPr="00794228">
        <w:rPr>
          <w:b/>
        </w:rPr>
        <w:t>ПАСПОРТ</w:t>
      </w:r>
    </w:p>
    <w:p w:rsidR="001D2B1F" w:rsidRPr="00794228" w:rsidRDefault="001D2B1F" w:rsidP="001D2B1F">
      <w:pPr>
        <w:jc w:val="center"/>
        <w:rPr>
          <w:b/>
        </w:rPr>
      </w:pPr>
      <w:r w:rsidRPr="00794228">
        <w:rPr>
          <w:b/>
        </w:rPr>
        <w:t xml:space="preserve">муниципальной программы Тужинского муниципального района «Развитие культуры на </w:t>
      </w:r>
      <w:r w:rsidRPr="00794228">
        <w:rPr>
          <w:b/>
          <w:color w:val="333333"/>
        </w:rPr>
        <w:t>2020-2025 годы»</w:t>
      </w:r>
    </w:p>
    <w:p w:rsidR="001D2B1F" w:rsidRPr="00794228" w:rsidRDefault="001D2B1F" w:rsidP="001D2B1F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6462"/>
      </w:tblGrid>
      <w:tr w:rsidR="001D2B1F" w:rsidRPr="00794228" w:rsidTr="00686CBD">
        <w:tc>
          <w:tcPr>
            <w:tcW w:w="3108" w:type="dxa"/>
          </w:tcPr>
          <w:p w:rsidR="001D2B1F" w:rsidRPr="00794228" w:rsidRDefault="001D2B1F" w:rsidP="00686CBD">
            <w:pPr>
              <w:snapToGrid w:val="0"/>
            </w:pPr>
            <w:r w:rsidRPr="00794228">
              <w:t>Ответственный исполнитель муниципальной</w:t>
            </w:r>
            <w:r w:rsidRPr="00794228">
              <w:br/>
              <w:t xml:space="preserve">программы                                </w:t>
            </w:r>
          </w:p>
        </w:tc>
        <w:tc>
          <w:tcPr>
            <w:tcW w:w="6462" w:type="dxa"/>
          </w:tcPr>
          <w:p w:rsidR="001D2B1F" w:rsidRPr="00794228" w:rsidRDefault="001D2B1F" w:rsidP="00686CBD">
            <w:pPr>
              <w:jc w:val="both"/>
            </w:pPr>
            <w:r w:rsidRPr="00794228">
              <w:t>МКУ «Отдел культуры</w:t>
            </w:r>
            <w:r w:rsidR="00C462BE">
              <w:t>, спорта и молодежной политики</w:t>
            </w:r>
            <w:r w:rsidRPr="00794228">
              <w:t xml:space="preserve"> администрации Тужинского муниципального района»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794228" w:rsidRDefault="001D2B1F" w:rsidP="00686CBD">
            <w:pPr>
              <w:snapToGrid w:val="0"/>
            </w:pPr>
            <w:r w:rsidRPr="00794228">
              <w:t xml:space="preserve">Соисполнители муниципальной программы  </w:t>
            </w:r>
          </w:p>
        </w:tc>
        <w:tc>
          <w:tcPr>
            <w:tcW w:w="6462" w:type="dxa"/>
          </w:tcPr>
          <w:p w:rsidR="001D2B1F" w:rsidRPr="00794228" w:rsidRDefault="001D2B1F" w:rsidP="00686CBD">
            <w:pPr>
              <w:jc w:val="both"/>
            </w:pPr>
            <w:r w:rsidRPr="00794228">
              <w:t>отсутствуют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794228" w:rsidRDefault="001D2B1F" w:rsidP="00686CBD">
            <w:pPr>
              <w:snapToGrid w:val="0"/>
            </w:pPr>
            <w:r w:rsidRPr="00794228">
              <w:t xml:space="preserve">Наименование подпрограмм </w:t>
            </w:r>
          </w:p>
        </w:tc>
        <w:tc>
          <w:tcPr>
            <w:tcW w:w="6462" w:type="dxa"/>
          </w:tcPr>
          <w:p w:rsidR="001D2B1F" w:rsidRPr="00794228" w:rsidRDefault="001D2B1F" w:rsidP="00686CBD">
            <w:pPr>
              <w:jc w:val="both"/>
            </w:pPr>
            <w:r w:rsidRPr="00794228">
              <w:t>отсутствуют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794228" w:rsidRDefault="001D2B1F" w:rsidP="00686CBD">
            <w:pPr>
              <w:snapToGrid w:val="0"/>
            </w:pPr>
            <w:r w:rsidRPr="00794228">
              <w:t>Программно-целевые  инструменты</w:t>
            </w:r>
            <w:r w:rsidRPr="00794228">
              <w:br/>
              <w:t xml:space="preserve">муниципальной  программы                </w:t>
            </w:r>
          </w:p>
        </w:tc>
        <w:tc>
          <w:tcPr>
            <w:tcW w:w="6462" w:type="dxa"/>
          </w:tcPr>
          <w:p w:rsidR="001D2B1F" w:rsidRPr="00794228" w:rsidRDefault="001D2B1F" w:rsidP="00686CBD">
            <w:pPr>
              <w:jc w:val="both"/>
            </w:pPr>
            <w:r w:rsidRPr="00794228">
              <w:t>отсутствуют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794228" w:rsidRDefault="001D2B1F" w:rsidP="00686CBD">
            <w:pPr>
              <w:snapToGrid w:val="0"/>
            </w:pPr>
            <w:r w:rsidRPr="00794228">
              <w:t xml:space="preserve">Цели муниципальной  программы           </w:t>
            </w:r>
          </w:p>
        </w:tc>
        <w:tc>
          <w:tcPr>
            <w:tcW w:w="6462" w:type="dxa"/>
          </w:tcPr>
          <w:p w:rsidR="001D2B1F" w:rsidRPr="00794228" w:rsidRDefault="001D2B1F" w:rsidP="00686CBD">
            <w:pPr>
              <w:pStyle w:val="a3"/>
              <w:spacing w:before="0" w:beforeAutospacing="0" w:after="0" w:afterAutospacing="0"/>
              <w:jc w:val="both"/>
            </w:pPr>
            <w:r w:rsidRPr="00794228">
              <w:t>Развитие единого культурного пространства на территории Тужинского муниципального района, создание условий для обеспечения равного доступа населения к культурным ценностям и информации.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  <w:jc w:val="both"/>
            </w:pPr>
            <w:r w:rsidRPr="00794228">
              <w:t>Повышение качества и доступности услуг в области культуры, предоставляемых населению Тужинского муниципального района муниципальными учреждениями культуры и дополнительного образования детей;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  <w:jc w:val="both"/>
            </w:pPr>
            <w:r w:rsidRPr="00794228">
              <w:t xml:space="preserve">Совершенствование организационных, </w:t>
            </w:r>
            <w:proofErr w:type="gramStart"/>
            <w:r w:rsidRPr="00794228">
              <w:t>экономических и правовых механизмов</w:t>
            </w:r>
            <w:proofErr w:type="gramEnd"/>
            <w:r w:rsidRPr="00794228">
              <w:t xml:space="preserve"> развития отрасли культуры района.</w:t>
            </w:r>
          </w:p>
          <w:p w:rsidR="001D2B1F" w:rsidRPr="00794228" w:rsidRDefault="001D2B1F" w:rsidP="00686CBD">
            <w:pPr>
              <w:jc w:val="both"/>
            </w:pPr>
          </w:p>
        </w:tc>
      </w:tr>
      <w:tr w:rsidR="001D2B1F" w:rsidRPr="00794228" w:rsidTr="00686CBD">
        <w:tc>
          <w:tcPr>
            <w:tcW w:w="3108" w:type="dxa"/>
          </w:tcPr>
          <w:p w:rsidR="001D2B1F" w:rsidRPr="00794228" w:rsidRDefault="001D2B1F" w:rsidP="00686CBD">
            <w:pPr>
              <w:snapToGrid w:val="0"/>
            </w:pPr>
            <w:r w:rsidRPr="00794228">
              <w:t xml:space="preserve">Задачи муниципальной  программы         </w:t>
            </w:r>
          </w:p>
        </w:tc>
        <w:tc>
          <w:tcPr>
            <w:tcW w:w="6462" w:type="dxa"/>
          </w:tcPr>
          <w:p w:rsidR="001D2B1F" w:rsidRPr="00794228" w:rsidRDefault="001D2B1F" w:rsidP="00686CBD">
            <w:pPr>
              <w:pStyle w:val="a3"/>
              <w:spacing w:before="0" w:beforeAutospacing="0" w:after="0" w:afterAutospacing="0"/>
            </w:pPr>
            <w:r w:rsidRPr="00794228">
              <w:t>Расширение объемов и видов услуг в области культуры, предоставляемых населению Тужинского муниципального района муниципальными учреждениями культуры и дополнительного образования детей.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  <w:jc w:val="both"/>
            </w:pPr>
            <w:r w:rsidRPr="00794228">
              <w:t>Обеспечение доступности культурных благ для всех групп населения  Тужинского муниципального района.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</w:pPr>
            <w:r w:rsidRPr="00794228">
              <w:t>Развитие библиотечного дела и организация библиотечного обслуживания населения библиотеками района;</w:t>
            </w:r>
          </w:p>
          <w:p w:rsidR="001D2B1F" w:rsidRPr="00794228" w:rsidRDefault="001D2B1F" w:rsidP="00686CBD">
            <w:pPr>
              <w:jc w:val="both"/>
            </w:pPr>
            <w:r w:rsidRPr="00794228">
              <w:t>Организация и поддержка народного творчества;</w:t>
            </w:r>
          </w:p>
          <w:p w:rsidR="001D2B1F" w:rsidRPr="00794228" w:rsidRDefault="001D2B1F" w:rsidP="00686CBD">
            <w:pPr>
              <w:jc w:val="both"/>
            </w:pPr>
            <w:r w:rsidRPr="00794228">
              <w:t>Организация и поддержка деятельности музея и обеспечение сохранности музейного фонда;</w:t>
            </w:r>
          </w:p>
          <w:p w:rsidR="001D2B1F" w:rsidRPr="00794228" w:rsidRDefault="001D2B1F" w:rsidP="00686CBD">
            <w:pPr>
              <w:jc w:val="both"/>
            </w:pPr>
            <w:r w:rsidRPr="00794228">
              <w:t>Организация предоставления дополнительного образования в сфере культуры;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</w:pPr>
            <w:r w:rsidRPr="00794228">
              <w:t>Модернизация материально-технической базы учреждений культуры;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</w:pPr>
            <w:r w:rsidRPr="00794228">
              <w:t>Развитие кадрового потенциала работников культуры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</w:pPr>
            <w:r w:rsidRPr="00794228">
              <w:t>Обеспечение подготовки и повышения квалификации кадров для учреждений культуры, дополнительного образования детей.</w:t>
            </w:r>
          </w:p>
          <w:p w:rsidR="001D2B1F" w:rsidRPr="00794228" w:rsidRDefault="001D2B1F" w:rsidP="00686CBD">
            <w:pPr>
              <w:jc w:val="both"/>
            </w:pPr>
          </w:p>
        </w:tc>
      </w:tr>
      <w:tr w:rsidR="001D2B1F" w:rsidRPr="00794228" w:rsidTr="00686CBD">
        <w:tc>
          <w:tcPr>
            <w:tcW w:w="3108" w:type="dxa"/>
          </w:tcPr>
          <w:p w:rsidR="001D2B1F" w:rsidRPr="00794228" w:rsidRDefault="001D2B1F" w:rsidP="00686CBD">
            <w:pPr>
              <w:snapToGrid w:val="0"/>
            </w:pPr>
            <w:r w:rsidRPr="00794228">
              <w:t>Целевые  показатели  эффективности</w:t>
            </w:r>
            <w:r w:rsidRPr="00794228">
              <w:br/>
              <w:t xml:space="preserve">реализации муниципальной </w:t>
            </w:r>
            <w:r w:rsidRPr="00794228">
              <w:lastRenderedPageBreak/>
              <w:t xml:space="preserve">программы     </w:t>
            </w:r>
          </w:p>
        </w:tc>
        <w:tc>
          <w:tcPr>
            <w:tcW w:w="6462" w:type="dxa"/>
          </w:tcPr>
          <w:p w:rsidR="001D2B1F" w:rsidRPr="00794228" w:rsidRDefault="001D2B1F" w:rsidP="00686CBD">
            <w:pPr>
              <w:jc w:val="both"/>
            </w:pPr>
            <w:r w:rsidRPr="00794228">
              <w:lastRenderedPageBreak/>
              <w:t>Количество посещений библиотек (на 1 жителя в год).</w:t>
            </w:r>
          </w:p>
          <w:p w:rsidR="001D2B1F" w:rsidRPr="00794228" w:rsidRDefault="001D2B1F" w:rsidP="00686CBD">
            <w:pPr>
              <w:jc w:val="both"/>
            </w:pPr>
            <w:r w:rsidRPr="00794228">
              <w:t xml:space="preserve">Численность участников культурно-массовых мероприятий, проводимых учреждениями </w:t>
            </w:r>
            <w:proofErr w:type="spellStart"/>
            <w:r w:rsidRPr="00794228">
              <w:t>культурно-досугового</w:t>
            </w:r>
            <w:proofErr w:type="spellEnd"/>
            <w:r w:rsidRPr="00794228">
              <w:t xml:space="preserve"> типа </w:t>
            </w:r>
            <w:proofErr w:type="gramStart"/>
            <w:r w:rsidRPr="00794228">
              <w:t xml:space="preserve">( </w:t>
            </w:r>
            <w:proofErr w:type="gramEnd"/>
            <w:r w:rsidRPr="00794228">
              <w:t xml:space="preserve">по </w:t>
            </w:r>
            <w:r w:rsidRPr="00794228">
              <w:lastRenderedPageBreak/>
              <w:t>сравнению с предыдущим годом).</w:t>
            </w:r>
          </w:p>
          <w:p w:rsidR="001D2B1F" w:rsidRPr="00794228" w:rsidRDefault="001D2B1F" w:rsidP="00686CBD">
            <w:pPr>
              <w:jc w:val="both"/>
            </w:pPr>
            <w:r w:rsidRPr="00794228">
              <w:t>Посещаемость музея (на 1000 человек).</w:t>
            </w:r>
          </w:p>
          <w:p w:rsidR="001D2B1F" w:rsidRPr="00794228" w:rsidRDefault="001D2B1F" w:rsidP="00686CBD">
            <w:pPr>
              <w:jc w:val="both"/>
            </w:pPr>
            <w:r w:rsidRPr="00794228">
              <w:t>Доля представленных (во всех формах</w:t>
            </w:r>
            <w:proofErr w:type="gramStart"/>
            <w:r w:rsidRPr="00794228">
              <w:t>)з</w:t>
            </w:r>
            <w:proofErr w:type="gramEnd"/>
            <w:r w:rsidRPr="00794228">
              <w:t>рителю музейных предметов в общем количестве предметов основного фонда.</w:t>
            </w:r>
          </w:p>
          <w:p w:rsidR="001D2B1F" w:rsidRPr="00794228" w:rsidRDefault="001D2B1F" w:rsidP="00686CBD">
            <w:pPr>
              <w:jc w:val="both"/>
            </w:pPr>
            <w:r w:rsidRPr="00794228">
              <w:t>Численность учащихся детской музыкальной школы.</w:t>
            </w:r>
          </w:p>
          <w:p w:rsidR="001D2B1F" w:rsidRPr="00794228" w:rsidRDefault="001D2B1F" w:rsidP="00686CBD">
            <w:r w:rsidRPr="00794228"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района.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794228" w:rsidRDefault="001D2B1F" w:rsidP="00686CBD">
            <w:pPr>
              <w:snapToGrid w:val="0"/>
            </w:pPr>
            <w:r w:rsidRPr="00794228">
              <w:lastRenderedPageBreak/>
              <w:t>Сроки и этапы реализации  муниципальной</w:t>
            </w:r>
            <w:r w:rsidRPr="00794228">
              <w:br/>
              <w:t xml:space="preserve">программы </w:t>
            </w:r>
          </w:p>
          <w:p w:rsidR="001D2B1F" w:rsidRPr="00794228" w:rsidRDefault="001D2B1F" w:rsidP="00686CBD">
            <w:pPr>
              <w:snapToGrid w:val="0"/>
            </w:pPr>
          </w:p>
          <w:p w:rsidR="001D2B1F" w:rsidRPr="00794228" w:rsidRDefault="001D2B1F" w:rsidP="00686CBD">
            <w:pPr>
              <w:snapToGrid w:val="0"/>
            </w:pPr>
            <w:r w:rsidRPr="00794228">
              <w:t xml:space="preserve">                               </w:t>
            </w:r>
          </w:p>
        </w:tc>
        <w:tc>
          <w:tcPr>
            <w:tcW w:w="6462" w:type="dxa"/>
          </w:tcPr>
          <w:p w:rsidR="001D2B1F" w:rsidRPr="00794228" w:rsidRDefault="001D2B1F" w:rsidP="00686CBD">
            <w:pPr>
              <w:jc w:val="both"/>
            </w:pPr>
            <w:r w:rsidRPr="00794228">
              <w:t>2020-2025 годы</w:t>
            </w:r>
          </w:p>
          <w:p w:rsidR="001D2B1F" w:rsidRPr="00794228" w:rsidRDefault="001D2B1F" w:rsidP="00686CBD">
            <w:pPr>
              <w:jc w:val="both"/>
            </w:pPr>
            <w:r w:rsidRPr="00794228">
              <w:t>Этапов не содержит.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794228" w:rsidRDefault="001D2B1F" w:rsidP="00686CBD">
            <w:pPr>
              <w:snapToGrid w:val="0"/>
            </w:pPr>
            <w:r w:rsidRPr="00794228">
              <w:t xml:space="preserve">Объемы  финансового обеспечения </w:t>
            </w:r>
          </w:p>
          <w:p w:rsidR="001D2B1F" w:rsidRPr="00794228" w:rsidRDefault="001D2B1F" w:rsidP="00686CBD">
            <w:pPr>
              <w:snapToGrid w:val="0"/>
            </w:pPr>
            <w:r w:rsidRPr="00794228">
              <w:t>муниципальной</w:t>
            </w:r>
            <w:r w:rsidRPr="00794228">
              <w:br/>
              <w:t xml:space="preserve">программы                                </w:t>
            </w:r>
          </w:p>
        </w:tc>
        <w:tc>
          <w:tcPr>
            <w:tcW w:w="6462" w:type="dxa"/>
          </w:tcPr>
          <w:p w:rsidR="001D2B1F" w:rsidRPr="00794228" w:rsidRDefault="001D2B1F" w:rsidP="00686CBD">
            <w:r w:rsidRPr="00794228">
              <w:t>Объем финансирования мероприятий программы в ценах соответствующих лет составит:</w:t>
            </w:r>
          </w:p>
          <w:p w:rsidR="001D2B1F" w:rsidRPr="00794228" w:rsidRDefault="001D2B1F" w:rsidP="00686CBD">
            <w:r w:rsidRPr="00794228">
              <w:t xml:space="preserve">Общий объём – </w:t>
            </w:r>
            <w:r w:rsidR="00850771">
              <w:t>205 205,8</w:t>
            </w:r>
            <w:r w:rsidRPr="00794228">
              <w:t xml:space="preserve"> </w:t>
            </w:r>
            <w:proofErr w:type="spellStart"/>
            <w:r w:rsidRPr="00794228">
              <w:t>тыс</w:t>
            </w:r>
            <w:proofErr w:type="gramStart"/>
            <w:r w:rsidRPr="00794228">
              <w:t>.р</w:t>
            </w:r>
            <w:proofErr w:type="gramEnd"/>
            <w:r w:rsidRPr="00794228">
              <w:t>уб</w:t>
            </w:r>
            <w:proofErr w:type="spellEnd"/>
            <w:r w:rsidRPr="00794228">
              <w:t>, в том числе:</w:t>
            </w:r>
          </w:p>
          <w:p w:rsidR="001D2B1F" w:rsidRPr="00794228" w:rsidRDefault="001D2B1F" w:rsidP="00686CBD">
            <w:r w:rsidRPr="00794228">
              <w:t>Всего по годам</w:t>
            </w:r>
          </w:p>
          <w:p w:rsidR="001D2B1F" w:rsidRPr="00794228" w:rsidRDefault="001D2B1F" w:rsidP="00686CBD">
            <w:r w:rsidRPr="00794228">
              <w:t xml:space="preserve">2020 год – </w:t>
            </w:r>
            <w:r w:rsidR="00C462BE">
              <w:t>2</w:t>
            </w:r>
            <w:r w:rsidR="000B50DB">
              <w:t>7</w:t>
            </w:r>
            <w:r w:rsidRPr="00794228">
              <w:t> </w:t>
            </w:r>
            <w:r w:rsidR="001D4DFC">
              <w:t>503</w:t>
            </w:r>
            <w:r w:rsidRPr="00794228">
              <w:t>,</w:t>
            </w:r>
            <w:r w:rsidR="001D4DFC">
              <w:t>9</w:t>
            </w:r>
            <w:r w:rsidRPr="00794228">
              <w:t xml:space="preserve"> </w:t>
            </w:r>
            <w:proofErr w:type="spellStart"/>
            <w:r w:rsidRPr="00794228">
              <w:t>тыс</w:t>
            </w:r>
            <w:proofErr w:type="gramStart"/>
            <w:r w:rsidRPr="00794228">
              <w:t>.р</w:t>
            </w:r>
            <w:proofErr w:type="gramEnd"/>
            <w:r w:rsidRPr="00794228">
              <w:t>уб</w:t>
            </w:r>
            <w:proofErr w:type="spellEnd"/>
          </w:p>
          <w:p w:rsidR="001D2B1F" w:rsidRPr="00794228" w:rsidRDefault="001D2B1F" w:rsidP="00686CBD">
            <w:r w:rsidRPr="00794228">
              <w:t xml:space="preserve">2021 год-  </w:t>
            </w:r>
            <w:r w:rsidR="00850771">
              <w:t>29 291,1</w:t>
            </w:r>
            <w:r w:rsidRPr="00794228">
              <w:t xml:space="preserve"> </w:t>
            </w:r>
            <w:proofErr w:type="spellStart"/>
            <w:r w:rsidRPr="00794228">
              <w:t>тыс</w:t>
            </w:r>
            <w:proofErr w:type="gramStart"/>
            <w:r w:rsidRPr="00794228">
              <w:t>.р</w:t>
            </w:r>
            <w:proofErr w:type="gramEnd"/>
            <w:r w:rsidRPr="00794228">
              <w:t>уб</w:t>
            </w:r>
            <w:proofErr w:type="spellEnd"/>
          </w:p>
          <w:p w:rsidR="001D2B1F" w:rsidRPr="00794228" w:rsidRDefault="001D2B1F" w:rsidP="00686CBD">
            <w:r w:rsidRPr="00794228">
              <w:t xml:space="preserve">2022 год – </w:t>
            </w:r>
            <w:r w:rsidR="00850771">
              <w:t>37 006,5</w:t>
            </w:r>
            <w:r w:rsidRPr="00794228">
              <w:t xml:space="preserve"> </w:t>
            </w:r>
            <w:proofErr w:type="spellStart"/>
            <w:r w:rsidRPr="00794228">
              <w:t>тыс</w:t>
            </w:r>
            <w:proofErr w:type="gramStart"/>
            <w:r w:rsidRPr="00794228">
              <w:t>.р</w:t>
            </w:r>
            <w:proofErr w:type="gramEnd"/>
            <w:r w:rsidRPr="00794228">
              <w:t>уб</w:t>
            </w:r>
            <w:proofErr w:type="spellEnd"/>
          </w:p>
          <w:p w:rsidR="001D2B1F" w:rsidRPr="00794228" w:rsidRDefault="001D2B1F" w:rsidP="00686CBD">
            <w:r w:rsidRPr="00794228">
              <w:t xml:space="preserve">2023 год-  </w:t>
            </w:r>
            <w:r w:rsidR="00850771">
              <w:t>36 208,8</w:t>
            </w:r>
            <w:r w:rsidRPr="00794228">
              <w:t xml:space="preserve"> </w:t>
            </w:r>
            <w:proofErr w:type="spellStart"/>
            <w:r w:rsidRPr="00794228">
              <w:t>тыс</w:t>
            </w:r>
            <w:proofErr w:type="gramStart"/>
            <w:r w:rsidRPr="00794228">
              <w:t>.р</w:t>
            </w:r>
            <w:proofErr w:type="gramEnd"/>
            <w:r w:rsidRPr="00794228">
              <w:t>уб</w:t>
            </w:r>
            <w:proofErr w:type="spellEnd"/>
          </w:p>
          <w:p w:rsidR="001D2B1F" w:rsidRPr="00794228" w:rsidRDefault="001D2B1F" w:rsidP="00686CBD">
            <w:r w:rsidRPr="00794228">
              <w:t xml:space="preserve">2024 год-  </w:t>
            </w:r>
            <w:r w:rsidR="00850771">
              <w:t>41 314,8</w:t>
            </w:r>
            <w:r w:rsidRPr="00794228">
              <w:t xml:space="preserve"> </w:t>
            </w:r>
            <w:proofErr w:type="spellStart"/>
            <w:r w:rsidRPr="00794228">
              <w:t>тыс</w:t>
            </w:r>
            <w:proofErr w:type="gramStart"/>
            <w:r w:rsidRPr="00794228">
              <w:t>.р</w:t>
            </w:r>
            <w:proofErr w:type="gramEnd"/>
            <w:r w:rsidRPr="00794228">
              <w:t>уб</w:t>
            </w:r>
            <w:proofErr w:type="spellEnd"/>
          </w:p>
          <w:p w:rsidR="001D2B1F" w:rsidRPr="00794228" w:rsidRDefault="001D2B1F" w:rsidP="00850771">
            <w:r w:rsidRPr="00794228">
              <w:t xml:space="preserve">2025 год – </w:t>
            </w:r>
            <w:r w:rsidR="00850771">
              <w:t>33 880,7</w:t>
            </w:r>
            <w:r w:rsidRPr="00794228">
              <w:t xml:space="preserve"> </w:t>
            </w:r>
            <w:proofErr w:type="spellStart"/>
            <w:r w:rsidRPr="00794228">
              <w:t>тыс.руб</w:t>
            </w:r>
            <w:proofErr w:type="spellEnd"/>
          </w:p>
        </w:tc>
      </w:tr>
      <w:tr w:rsidR="001D2B1F" w:rsidRPr="00794228" w:rsidTr="00686CBD">
        <w:tc>
          <w:tcPr>
            <w:tcW w:w="3108" w:type="dxa"/>
          </w:tcPr>
          <w:p w:rsidR="001D2B1F" w:rsidRPr="00794228" w:rsidRDefault="001D2B1F" w:rsidP="00686CBD">
            <w:pPr>
              <w:snapToGrid w:val="0"/>
            </w:pPr>
            <w:r w:rsidRPr="00794228">
              <w:t>Ожидаемые конечные результаты  реализации</w:t>
            </w:r>
            <w:r w:rsidRPr="00794228">
              <w:br/>
              <w:t xml:space="preserve">муниципальной программы                </w:t>
            </w:r>
          </w:p>
        </w:tc>
        <w:tc>
          <w:tcPr>
            <w:tcW w:w="6462" w:type="dxa"/>
          </w:tcPr>
          <w:p w:rsidR="001D2B1F" w:rsidRPr="00794228" w:rsidRDefault="001D2B1F" w:rsidP="00686CBD">
            <w:pPr>
              <w:rPr>
                <w:b/>
              </w:rPr>
            </w:pPr>
            <w:r w:rsidRPr="00794228">
              <w:rPr>
                <w:b/>
              </w:rPr>
              <w:t>В качественном выражении: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  <w:jc w:val="both"/>
            </w:pPr>
            <w:r w:rsidRPr="00794228">
              <w:t>- создание условий, обеспечивающих равную доступность услуг в области культуры, предоставляемых населению Тужинского района муниципальными учреждениями культуры и дополнительного образования детей;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  <w:jc w:val="both"/>
            </w:pPr>
            <w:r w:rsidRPr="00794228">
              <w:t>- модернизация существующей сети муниципальных учреждений района;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  <w:jc w:val="both"/>
            </w:pPr>
            <w:r w:rsidRPr="00794228">
              <w:t>- повышение качества услуг в области культуры, предоставляемых населению Тужинского муниципального района муниципальными учреждениями культуры и дополнительного образования детей;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  <w:jc w:val="both"/>
            </w:pPr>
            <w:r w:rsidRPr="00794228">
              <w:t xml:space="preserve">- увеличение </w:t>
            </w:r>
            <w:proofErr w:type="gramStart"/>
            <w:r w:rsidRPr="00794228">
              <w:t>количества экземпляров библиотечного фонда муниципальных библиотек района</w:t>
            </w:r>
            <w:proofErr w:type="gramEnd"/>
            <w:r w:rsidRPr="00794228">
              <w:t>;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  <w:jc w:val="both"/>
            </w:pPr>
            <w:r w:rsidRPr="00794228">
              <w:t xml:space="preserve">- рост посещаемости </w:t>
            </w:r>
            <w:proofErr w:type="spellStart"/>
            <w:r w:rsidRPr="00794228">
              <w:t>культурно-досуговых</w:t>
            </w:r>
            <w:proofErr w:type="spellEnd"/>
            <w:r w:rsidRPr="00794228">
              <w:t xml:space="preserve"> мероприятий;</w:t>
            </w:r>
          </w:p>
          <w:p w:rsidR="001D2B1F" w:rsidRPr="00794228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794228">
              <w:t>- увеличение доли детей, обучающихся в учреждениях дополнительного образования культуры от общего количества детей школьного возраста.</w:t>
            </w:r>
          </w:p>
          <w:p w:rsidR="001D2B1F" w:rsidRPr="00794228" w:rsidRDefault="001D2B1F" w:rsidP="00686CBD">
            <w:pPr>
              <w:rPr>
                <w:b/>
              </w:rPr>
            </w:pPr>
            <w:r w:rsidRPr="00794228">
              <w:rPr>
                <w:b/>
              </w:rPr>
              <w:t>В количественном выражении к концу 2025 года:</w:t>
            </w:r>
          </w:p>
          <w:p w:rsidR="001D2B1F" w:rsidRPr="00794228" w:rsidRDefault="001D2B1F" w:rsidP="00686CBD">
            <w:r w:rsidRPr="00794228">
              <w:t>количество посещений библиотек составит 12.2 на 1 жителя;</w:t>
            </w:r>
          </w:p>
          <w:p w:rsidR="001D2B1F" w:rsidRPr="00794228" w:rsidRDefault="001D2B1F" w:rsidP="00686CBD">
            <w:r w:rsidRPr="00794228">
              <w:t xml:space="preserve"> численность участников культурно-массовых мероприятий, проводимых учреждениями </w:t>
            </w:r>
            <w:proofErr w:type="spellStart"/>
            <w:r w:rsidRPr="00794228">
              <w:t>культурно-досугового</w:t>
            </w:r>
            <w:proofErr w:type="spellEnd"/>
            <w:r w:rsidRPr="00794228">
              <w:t xml:space="preserve"> типа (по сравнению с предыдущим годом) составит 7,3%</w:t>
            </w:r>
            <w:proofErr w:type="gramStart"/>
            <w:r w:rsidRPr="00794228">
              <w:t xml:space="preserve"> ;</w:t>
            </w:r>
            <w:proofErr w:type="gramEnd"/>
          </w:p>
          <w:p w:rsidR="001D2B1F" w:rsidRPr="00794228" w:rsidRDefault="001D2B1F" w:rsidP="00686CBD">
            <w:r w:rsidRPr="00794228">
              <w:t>количество посещений  музея на 1000 человек населения составит  963</w:t>
            </w:r>
            <w:proofErr w:type="gramStart"/>
            <w:r w:rsidRPr="00794228">
              <w:t xml:space="preserve">  ;</w:t>
            </w:r>
            <w:proofErr w:type="gramEnd"/>
          </w:p>
          <w:p w:rsidR="001D2B1F" w:rsidRPr="00794228" w:rsidRDefault="001D2B1F" w:rsidP="00686CBD">
            <w:r w:rsidRPr="00794228">
              <w:t>численность учащихся детской музыкальной школы составит 53 человека;</w:t>
            </w:r>
          </w:p>
          <w:p w:rsidR="001D2B1F" w:rsidRPr="00794228" w:rsidRDefault="001D2B1F" w:rsidP="00686CBD">
            <w:r w:rsidRPr="00794228">
              <w:lastRenderedPageBreak/>
              <w:t>доля представленных (во всех формах</w:t>
            </w:r>
            <w:proofErr w:type="gramStart"/>
            <w:r w:rsidRPr="00794228">
              <w:t>)з</w:t>
            </w:r>
            <w:proofErr w:type="gramEnd"/>
            <w:r w:rsidRPr="00794228">
              <w:t>рителю музейных предметов в общем количестве предметов основного фонда составит 65,2%</w:t>
            </w:r>
          </w:p>
          <w:p w:rsidR="001D2B1F" w:rsidRPr="00794228" w:rsidRDefault="001D2B1F" w:rsidP="00686CBD">
            <w:r w:rsidRPr="00794228"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района составит 100 %;</w:t>
            </w:r>
          </w:p>
          <w:p w:rsidR="001D2B1F" w:rsidRPr="00794228" w:rsidRDefault="001D2B1F" w:rsidP="00686CBD"/>
        </w:tc>
      </w:tr>
    </w:tbl>
    <w:p w:rsidR="009F3834" w:rsidRDefault="009F3834"/>
    <w:sectPr w:rsidR="009F3834" w:rsidSect="009F3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2B1F"/>
    <w:rsid w:val="000B50DB"/>
    <w:rsid w:val="000C1A69"/>
    <w:rsid w:val="00101A0C"/>
    <w:rsid w:val="001D2B1F"/>
    <w:rsid w:val="001D4DFC"/>
    <w:rsid w:val="004F2C3C"/>
    <w:rsid w:val="00850771"/>
    <w:rsid w:val="009F3834"/>
    <w:rsid w:val="00AA7445"/>
    <w:rsid w:val="00BE5870"/>
    <w:rsid w:val="00C462BE"/>
    <w:rsid w:val="00E465E6"/>
    <w:rsid w:val="00F7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2B1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6</cp:revision>
  <dcterms:created xsi:type="dcterms:W3CDTF">2017-10-23T07:54:00Z</dcterms:created>
  <dcterms:modified xsi:type="dcterms:W3CDTF">2024-10-10T12:49:00Z</dcterms:modified>
</cp:coreProperties>
</file>