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91" w:rsidRPr="00F62591" w:rsidRDefault="00F62591" w:rsidP="00F62591">
      <w:pPr>
        <w:shd w:val="clear" w:color="auto" w:fill="FFFFFF"/>
        <w:spacing w:line="360" w:lineRule="atLeast"/>
        <w:ind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lang w:eastAsia="ru-RU"/>
        </w:rPr>
      </w:pPr>
      <w:r w:rsidRPr="00F62591">
        <w:rPr>
          <w:rFonts w:ascii="Arial" w:eastAsia="Times New Roman" w:hAnsi="Arial" w:cs="Arial"/>
          <w:b/>
          <w:bCs/>
          <w:color w:val="000000"/>
          <w:kern w:val="36"/>
          <w:sz w:val="24"/>
          <w:lang w:eastAsia="ru-RU"/>
        </w:rPr>
        <w:t>Важная информация, которую нужно знать кадровику в 2024 году</w:t>
      </w:r>
    </w:p>
    <w:p w:rsidR="00F62591" w:rsidRPr="00F62591" w:rsidRDefault="00F62591" w:rsidP="00F62591">
      <w:pPr>
        <w:shd w:val="clear" w:color="auto" w:fill="FFFFFF"/>
        <w:spacing w:before="480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r w:rsidRPr="00F62591">
        <w:rPr>
          <w:rFonts w:eastAsia="Times New Roman"/>
          <w:color w:val="000000"/>
          <w:sz w:val="24"/>
          <w:lang w:eastAsia="ru-RU"/>
        </w:rPr>
        <w:t>Важная информация, которую нужно знать кадровику в 2024 году:</w:t>
      </w:r>
    </w:p>
    <w:p w:rsidR="00F62591" w:rsidRPr="00F62591" w:rsidRDefault="00F62591" w:rsidP="00F62591">
      <w:pPr>
        <w:shd w:val="clear" w:color="auto" w:fill="FFFFFF"/>
        <w:spacing w:before="168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r w:rsidRPr="00F62591">
        <w:rPr>
          <w:rFonts w:eastAsia="Times New Roman"/>
          <w:color w:val="000000"/>
          <w:sz w:val="24"/>
          <w:lang w:eastAsia="ru-RU"/>
        </w:rPr>
        <w:t>- с 1 января МРОТ </w:t>
      </w:r>
      <w:hyperlink r:id="rId4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составляет</w:t>
        </w:r>
      </w:hyperlink>
      <w:r w:rsidRPr="00F62591">
        <w:rPr>
          <w:rFonts w:eastAsia="Times New Roman"/>
          <w:color w:val="000000"/>
          <w:sz w:val="24"/>
          <w:lang w:eastAsia="ru-RU"/>
        </w:rPr>
        <w:t> 19242 рубля в месяц;</w:t>
      </w:r>
    </w:p>
    <w:p w:rsidR="00F62591" w:rsidRPr="00F62591" w:rsidRDefault="00F62591" w:rsidP="00F62591">
      <w:pPr>
        <w:shd w:val="clear" w:color="auto" w:fill="FFFFFF"/>
        <w:spacing w:before="168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r w:rsidRPr="00F62591">
        <w:rPr>
          <w:rFonts w:eastAsia="Times New Roman"/>
          <w:color w:val="000000"/>
          <w:sz w:val="24"/>
          <w:lang w:eastAsia="ru-RU"/>
        </w:rPr>
        <w:t>- </w:t>
      </w:r>
      <w:hyperlink r:id="rId5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Обзор</w:t>
        </w:r>
      </w:hyperlink>
      <w:r w:rsidRPr="00F62591">
        <w:rPr>
          <w:rFonts w:eastAsia="Times New Roman"/>
          <w:color w:val="000000"/>
          <w:sz w:val="24"/>
          <w:lang w:eastAsia="ru-RU"/>
        </w:rPr>
        <w:t> "Основные изменения в трудовом законодательстве в 2024 году";</w:t>
      </w:r>
    </w:p>
    <w:p w:rsidR="00F62591" w:rsidRPr="00F62591" w:rsidRDefault="00F62591" w:rsidP="00F62591">
      <w:pPr>
        <w:shd w:val="clear" w:color="auto" w:fill="FFFFFF"/>
        <w:spacing w:before="168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r w:rsidRPr="00F62591">
        <w:rPr>
          <w:rFonts w:eastAsia="Times New Roman"/>
          <w:color w:val="000000"/>
          <w:sz w:val="24"/>
          <w:lang w:eastAsia="ru-RU"/>
        </w:rPr>
        <w:t>- Производственный </w:t>
      </w:r>
      <w:hyperlink r:id="rId6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календарь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на 2024 год для пятидневной рабочей недели;</w:t>
      </w:r>
    </w:p>
    <w:p w:rsidR="00F62591" w:rsidRPr="00F62591" w:rsidRDefault="00F62591" w:rsidP="00F62591">
      <w:pPr>
        <w:shd w:val="clear" w:color="auto" w:fill="FFFFFF"/>
        <w:spacing w:before="168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r w:rsidRPr="00F62591">
        <w:rPr>
          <w:rFonts w:eastAsia="Times New Roman"/>
          <w:color w:val="000000"/>
          <w:sz w:val="24"/>
          <w:lang w:eastAsia="ru-RU"/>
        </w:rPr>
        <w:t>- Производственный </w:t>
      </w:r>
      <w:hyperlink r:id="rId7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календарь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на 2024 год для шестидневной рабочей недели;</w:t>
      </w:r>
    </w:p>
    <w:p w:rsidR="00F62591" w:rsidRPr="00F62591" w:rsidRDefault="00F62591" w:rsidP="00F62591">
      <w:pPr>
        <w:shd w:val="clear" w:color="auto" w:fill="FFFFFF"/>
        <w:spacing w:before="168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r w:rsidRPr="00F62591">
        <w:rPr>
          <w:rFonts w:eastAsia="Times New Roman"/>
          <w:color w:val="000000"/>
          <w:sz w:val="24"/>
          <w:lang w:eastAsia="ru-RU"/>
        </w:rPr>
        <w:t>- продлены до 01.01.2025 Особенности правового регулирования трудовых отношений и иных непосредственно связанных с ними отношений (</w:t>
      </w:r>
      <w:hyperlink r:id="rId8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Постановление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Правительства РФ от 29.12.2023 N 2390);</w:t>
      </w:r>
    </w:p>
    <w:p w:rsidR="00F62591" w:rsidRPr="00F62591" w:rsidRDefault="00F62591" w:rsidP="00F62591">
      <w:pPr>
        <w:shd w:val="clear" w:color="auto" w:fill="FFFFFF"/>
        <w:spacing w:before="168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r w:rsidRPr="00F62591">
        <w:rPr>
          <w:rFonts w:eastAsia="Times New Roman"/>
          <w:color w:val="000000"/>
          <w:sz w:val="24"/>
          <w:lang w:eastAsia="ru-RU"/>
        </w:rPr>
        <w:t>- проведение внеплановых контрольных (надзорных) мероприятий по сокращенному числу оснований </w:t>
      </w:r>
      <w:hyperlink r:id="rId9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продлено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на 2024 год (</w:t>
      </w:r>
      <w:hyperlink r:id="rId10" w:anchor="dst100005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Постановление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Правительства РФ от 14.12.2023 N 2140);</w:t>
      </w:r>
    </w:p>
    <w:p w:rsidR="00F62591" w:rsidRPr="00F62591" w:rsidRDefault="00F62591" w:rsidP="00F62591">
      <w:pPr>
        <w:shd w:val="clear" w:color="auto" w:fill="FFFFFF"/>
        <w:spacing w:before="168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proofErr w:type="gramStart"/>
      <w:r w:rsidRPr="00F62591">
        <w:rPr>
          <w:rFonts w:eastAsia="Times New Roman"/>
          <w:color w:val="000000"/>
          <w:sz w:val="24"/>
          <w:lang w:eastAsia="ru-RU"/>
        </w:rPr>
        <w:t>- с 1 января 2024 года в Положении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права, изменены </w:t>
      </w:r>
      <w:hyperlink r:id="rId11" w:anchor="dst100010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ключевые показатели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государственного контроля (надзора) и </w:t>
      </w:r>
      <w:hyperlink r:id="rId12" w:anchor="dst100023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перечень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значений показателя потенциального вреда охраняемым законом ценностям в сфере труда из-за возможного несоблюдения обязательных требований при осуществлении определенного вида деятельности (</w:t>
      </w:r>
      <w:hyperlink r:id="rId13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Постановление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Правительства РФ от 16.11.2023 N 1934);</w:t>
      </w:r>
      <w:proofErr w:type="gramEnd"/>
    </w:p>
    <w:p w:rsidR="00F62591" w:rsidRPr="00F62591" w:rsidRDefault="00F62591" w:rsidP="00F62591">
      <w:pPr>
        <w:shd w:val="clear" w:color="auto" w:fill="FFFFFF"/>
        <w:spacing w:before="168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r w:rsidRPr="00F62591">
        <w:rPr>
          <w:rFonts w:eastAsia="Times New Roman"/>
          <w:color w:val="000000"/>
          <w:sz w:val="24"/>
          <w:lang w:eastAsia="ru-RU"/>
        </w:rPr>
        <w:t>- разработаны </w:t>
      </w:r>
      <w:hyperlink r:id="rId14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Единые</w:t>
        </w:r>
      </w:hyperlink>
      <w:r w:rsidRPr="00F62591">
        <w:rPr>
          <w:rFonts w:eastAsia="Times New Roman"/>
          <w:color w:val="000000"/>
          <w:sz w:val="24"/>
          <w:lang w:eastAsia="ru-RU"/>
        </w:rPr>
        <w:t> 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2024 год;</w:t>
      </w:r>
    </w:p>
    <w:p w:rsidR="00F62591" w:rsidRPr="00F62591" w:rsidRDefault="00F62591" w:rsidP="00F62591">
      <w:pPr>
        <w:shd w:val="clear" w:color="auto" w:fill="FFFFFF"/>
        <w:spacing w:before="168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r w:rsidRPr="00F62591">
        <w:rPr>
          <w:rFonts w:eastAsia="Times New Roman"/>
          <w:color w:val="000000"/>
          <w:sz w:val="24"/>
          <w:lang w:eastAsia="ru-RU"/>
        </w:rPr>
        <w:t>- с 1 января 2024 года </w:t>
      </w:r>
      <w:hyperlink r:id="rId15" w:anchor="dst100827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частично вступает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в силу Федеральный </w:t>
      </w:r>
      <w:hyperlink r:id="rId16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закон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от 12.12.2023 N 565-ФЗ "О занятости населения в Российской Федерации", в том числе </w:t>
      </w:r>
      <w:hyperlink r:id="rId17" w:anchor="dst100601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ст. 53</w:t>
        </w:r>
      </w:hyperlink>
      <w:r w:rsidRPr="00F62591">
        <w:rPr>
          <w:rFonts w:eastAsia="Times New Roman"/>
          <w:color w:val="000000"/>
          <w:sz w:val="24"/>
          <w:lang w:eastAsia="ru-RU"/>
        </w:rPr>
        <w:t> "Обязанность работодателей по информированию государственной службы занятости" (</w:t>
      </w:r>
      <w:proofErr w:type="gramStart"/>
      <w:r w:rsidRPr="00F62591">
        <w:rPr>
          <w:rFonts w:eastAsia="Times New Roman"/>
          <w:color w:val="000000"/>
          <w:sz w:val="24"/>
          <w:lang w:eastAsia="ru-RU"/>
        </w:rPr>
        <w:t>см</w:t>
      </w:r>
      <w:proofErr w:type="gramEnd"/>
      <w:r w:rsidRPr="00F62591">
        <w:rPr>
          <w:rFonts w:eastAsia="Times New Roman"/>
          <w:color w:val="000000"/>
          <w:sz w:val="24"/>
          <w:lang w:eastAsia="ru-RU"/>
        </w:rPr>
        <w:t>. </w:t>
      </w:r>
      <w:hyperlink r:id="rId18" w:anchor="dst100003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обзор</w:t>
        </w:r>
      </w:hyperlink>
      <w:r w:rsidRPr="00F62591">
        <w:rPr>
          <w:rFonts w:eastAsia="Times New Roman"/>
          <w:color w:val="000000"/>
          <w:sz w:val="24"/>
          <w:lang w:eastAsia="ru-RU"/>
        </w:rPr>
        <w:t> "Новый Закон о занятости населения опубликован");</w:t>
      </w:r>
    </w:p>
    <w:p w:rsidR="00F62591" w:rsidRPr="00F62591" w:rsidRDefault="00F62591" w:rsidP="00F62591">
      <w:pPr>
        <w:shd w:val="clear" w:color="auto" w:fill="FFFFFF"/>
        <w:spacing w:before="168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r w:rsidRPr="00F62591">
        <w:rPr>
          <w:rFonts w:eastAsia="Times New Roman"/>
          <w:color w:val="000000"/>
          <w:sz w:val="24"/>
          <w:lang w:eastAsia="ru-RU"/>
        </w:rPr>
        <w:t>- с 1 января 2024 года </w:t>
      </w:r>
      <w:hyperlink r:id="rId19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призывной возраст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на военную службу увеличится с 27 до 30 лет (Федеральный </w:t>
      </w:r>
      <w:hyperlink r:id="rId20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закон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от 04.08.2023 N 439-ФЗ, </w:t>
      </w:r>
      <w:hyperlink r:id="rId21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Приказ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Министра обороны РФ от 23.11.2023 N 791);</w:t>
      </w:r>
    </w:p>
    <w:p w:rsidR="00F62591" w:rsidRPr="00F62591" w:rsidRDefault="00F62591" w:rsidP="00F62591">
      <w:pPr>
        <w:shd w:val="clear" w:color="auto" w:fill="FFFFFF"/>
        <w:spacing w:before="168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r w:rsidRPr="00F62591">
        <w:rPr>
          <w:rFonts w:eastAsia="Times New Roman"/>
          <w:color w:val="000000"/>
          <w:sz w:val="24"/>
          <w:lang w:eastAsia="ru-RU"/>
        </w:rPr>
        <w:t>- с 1 января 2024 года </w:t>
      </w:r>
      <w:hyperlink r:id="rId22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повысят</w:t>
        </w:r>
      </w:hyperlink>
      <w:r w:rsidRPr="00F62591">
        <w:rPr>
          <w:rFonts w:eastAsia="Times New Roman"/>
          <w:color w:val="000000"/>
          <w:sz w:val="24"/>
          <w:lang w:eastAsia="ru-RU"/>
        </w:rPr>
        <w:t xml:space="preserve"> предельный возраст отсрочки на военную службу работникам </w:t>
      </w:r>
      <w:proofErr w:type="spellStart"/>
      <w:r w:rsidRPr="00F62591">
        <w:rPr>
          <w:rFonts w:eastAsia="Times New Roman"/>
          <w:color w:val="000000"/>
          <w:sz w:val="24"/>
          <w:lang w:eastAsia="ru-RU"/>
        </w:rPr>
        <w:t>ИТ-компаний</w:t>
      </w:r>
      <w:proofErr w:type="spellEnd"/>
      <w:r w:rsidRPr="00F62591">
        <w:rPr>
          <w:rFonts w:eastAsia="Times New Roman"/>
          <w:color w:val="000000"/>
          <w:sz w:val="24"/>
          <w:lang w:eastAsia="ru-RU"/>
        </w:rPr>
        <w:t xml:space="preserve"> с 27 до 30 лет (</w:t>
      </w:r>
      <w:hyperlink r:id="rId23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Указ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Президента РФ от 04.09.2023 N 660);</w:t>
      </w:r>
    </w:p>
    <w:p w:rsidR="00F62591" w:rsidRPr="00F62591" w:rsidRDefault="00F62591" w:rsidP="00F62591">
      <w:pPr>
        <w:shd w:val="clear" w:color="auto" w:fill="FFFFFF"/>
        <w:spacing w:before="168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r w:rsidRPr="00F62591">
        <w:rPr>
          <w:rFonts w:eastAsia="Times New Roman"/>
          <w:color w:val="000000"/>
          <w:sz w:val="24"/>
          <w:lang w:eastAsia="ru-RU"/>
        </w:rPr>
        <w:t>- на 2024 год установлена </w:t>
      </w:r>
      <w:hyperlink r:id="rId24" w:anchor="dst100005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допустимая доля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иностранных работников, используемых хозяйствующими субъектами, осуществляющими на территории РФ отдельные виды экономической деятельности (</w:t>
      </w:r>
      <w:hyperlink r:id="rId25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Постановление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Правительства РФ от 16.09.2023 N 1511);</w:t>
      </w:r>
    </w:p>
    <w:p w:rsidR="00F62591" w:rsidRPr="00F62591" w:rsidRDefault="00F62591" w:rsidP="00F62591">
      <w:pPr>
        <w:shd w:val="clear" w:color="auto" w:fill="FFFFFF"/>
        <w:spacing w:before="168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proofErr w:type="gramStart"/>
      <w:r w:rsidRPr="00F62591">
        <w:rPr>
          <w:rFonts w:eastAsia="Times New Roman"/>
          <w:color w:val="000000"/>
          <w:sz w:val="24"/>
          <w:lang w:eastAsia="ru-RU"/>
        </w:rPr>
        <w:t>- случаи и условия допуска лиц, не завершивших освоение образовательных программ высшего медицинского образования, к осуществлению медицинской деятельности на должностях специалистов со средним медицинским образованием,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и высшим медицинским образованием в составе выездной бригады скорой медицинской помощи </w:t>
      </w:r>
      <w:hyperlink r:id="rId26" w:anchor="dst100005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продлены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до 1 января 2025 г. (</w:t>
      </w:r>
      <w:hyperlink r:id="rId27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Постановление</w:t>
        </w:r>
        <w:proofErr w:type="gramEnd"/>
      </w:hyperlink>
      <w:r w:rsidRPr="00F62591">
        <w:rPr>
          <w:rFonts w:eastAsia="Times New Roman"/>
          <w:color w:val="000000"/>
          <w:sz w:val="24"/>
          <w:lang w:eastAsia="ru-RU"/>
        </w:rPr>
        <w:t> </w:t>
      </w:r>
      <w:proofErr w:type="gramStart"/>
      <w:r w:rsidRPr="00F62591">
        <w:rPr>
          <w:rFonts w:eastAsia="Times New Roman"/>
          <w:color w:val="000000"/>
          <w:sz w:val="24"/>
          <w:lang w:eastAsia="ru-RU"/>
        </w:rPr>
        <w:t>Правительства РФ от 27.12.2023 N 2319);</w:t>
      </w:r>
      <w:proofErr w:type="gramEnd"/>
    </w:p>
    <w:p w:rsidR="00F62591" w:rsidRPr="00F62591" w:rsidRDefault="00F62591" w:rsidP="00F62591">
      <w:pPr>
        <w:shd w:val="clear" w:color="auto" w:fill="FFFFFF"/>
        <w:spacing w:before="168"/>
        <w:ind w:firstLine="540"/>
        <w:jc w:val="left"/>
        <w:rPr>
          <w:rFonts w:eastAsia="Times New Roman"/>
          <w:color w:val="000000"/>
          <w:sz w:val="24"/>
          <w:lang w:eastAsia="ru-RU"/>
        </w:rPr>
      </w:pPr>
      <w:r w:rsidRPr="00F62591">
        <w:rPr>
          <w:rFonts w:eastAsia="Times New Roman"/>
          <w:color w:val="000000"/>
          <w:sz w:val="24"/>
          <w:lang w:eastAsia="ru-RU"/>
        </w:rPr>
        <w:lastRenderedPageBreak/>
        <w:t>- утвержден новый </w:t>
      </w:r>
      <w:hyperlink r:id="rId28" w:anchor="dst100011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Порядок и сроки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прохождения медицинскими работниками и фармацевтическими работниками аттестации для получения квалификационной категории (</w:t>
      </w:r>
      <w:hyperlink r:id="rId29" w:history="1">
        <w:r w:rsidRPr="00F62591">
          <w:rPr>
            <w:rFonts w:eastAsia="Times New Roman"/>
            <w:color w:val="1A0DAB"/>
            <w:sz w:val="24"/>
            <w:u w:val="single"/>
            <w:lang w:eastAsia="ru-RU"/>
          </w:rPr>
          <w:t>Приказ</w:t>
        </w:r>
      </w:hyperlink>
      <w:r w:rsidRPr="00F62591">
        <w:rPr>
          <w:rFonts w:eastAsia="Times New Roman"/>
          <w:color w:val="000000"/>
          <w:sz w:val="24"/>
          <w:lang w:eastAsia="ru-RU"/>
        </w:rPr>
        <w:t> Минздрава России от 31.08.2023 N 458н).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591"/>
    <w:rsid w:val="00231508"/>
    <w:rsid w:val="00C51522"/>
    <w:rsid w:val="00F6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1">
    <w:name w:val="heading 1"/>
    <w:basedOn w:val="a"/>
    <w:link w:val="10"/>
    <w:uiPriority w:val="9"/>
    <w:qFormat/>
    <w:rsid w:val="00F62591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591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2591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F625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606/" TargetMode="External"/><Relationship Id="rId13" Type="http://schemas.openxmlformats.org/officeDocument/2006/relationships/hyperlink" Target="https://www.consultant.ru/document/cons_doc_LAW_462192/" TargetMode="External"/><Relationship Id="rId18" Type="http://schemas.openxmlformats.org/officeDocument/2006/relationships/hyperlink" Target="https://www.consultant.ru/document/cons_doc_LAW_464204/b586103679f0571ef78a9bf15d8c0f8f9b74a65e/" TargetMode="External"/><Relationship Id="rId26" Type="http://schemas.openxmlformats.org/officeDocument/2006/relationships/hyperlink" Target="https://www.consultant.ru/document/cons_doc_LAW_46603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63277/" TargetMode="External"/><Relationship Id="rId7" Type="http://schemas.openxmlformats.org/officeDocument/2006/relationships/hyperlink" Target="https://www.consultant.ru/document/cons_doc_LAW_449987/" TargetMode="External"/><Relationship Id="rId12" Type="http://schemas.openxmlformats.org/officeDocument/2006/relationships/hyperlink" Target="https://www.consultant.ru/document/cons_doc_LAW_462192/849fd80d2cc452e7994b62b8ceb749fb92f64dda/" TargetMode="External"/><Relationship Id="rId17" Type="http://schemas.openxmlformats.org/officeDocument/2006/relationships/hyperlink" Target="https://www.consultant.ru/document/cons_doc_LAW_464093/151df305f73e727be3bf36a447c90c7c84f22219/" TargetMode="External"/><Relationship Id="rId25" Type="http://schemas.openxmlformats.org/officeDocument/2006/relationships/hyperlink" Target="https://www.consultant.ru/document/cons_doc_LAW_45808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64093/" TargetMode="External"/><Relationship Id="rId20" Type="http://schemas.openxmlformats.org/officeDocument/2006/relationships/hyperlink" Target="https://www.consultant.ru/document/cons_doc_LAW_453888/" TargetMode="External"/><Relationship Id="rId29" Type="http://schemas.openxmlformats.org/officeDocument/2006/relationships/hyperlink" Target="https://www.consultant.ru/document/cons_doc_LAW_45891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9986/" TargetMode="External"/><Relationship Id="rId11" Type="http://schemas.openxmlformats.org/officeDocument/2006/relationships/hyperlink" Target="https://www.consultant.ru/document/cons_doc_LAW_462192/849fd80d2cc452e7994b62b8ceb749fb92f64dda/" TargetMode="External"/><Relationship Id="rId24" Type="http://schemas.openxmlformats.org/officeDocument/2006/relationships/hyperlink" Target="https://www.consultant.ru/document/cons_doc_LAW_458083/" TargetMode="External"/><Relationship Id="rId5" Type="http://schemas.openxmlformats.org/officeDocument/2006/relationships/hyperlink" Target="https://www.consultant.ru/document/cons_doc_LAW_465890/233696febc5973f48df52633e6c578ed0d832228/" TargetMode="External"/><Relationship Id="rId15" Type="http://schemas.openxmlformats.org/officeDocument/2006/relationships/hyperlink" Target="https://www.consultant.ru/document/cons_doc_LAW_464093/abbb4b8ba73d40b147bdb7dab62feee132fe1a31/" TargetMode="External"/><Relationship Id="rId23" Type="http://schemas.openxmlformats.org/officeDocument/2006/relationships/hyperlink" Target="https://www.consultant.ru/document/cons_doc_LAW_462600/" TargetMode="External"/><Relationship Id="rId28" Type="http://schemas.openxmlformats.org/officeDocument/2006/relationships/hyperlink" Target="https://www.consultant.ru/document/cons_doc_LAW_458918/838d9258c2ebb082d096219b56056b9ec03de7e0/" TargetMode="External"/><Relationship Id="rId10" Type="http://schemas.openxmlformats.org/officeDocument/2006/relationships/hyperlink" Target="https://www.consultant.ru/document/cons_doc_LAW_464560/" TargetMode="External"/><Relationship Id="rId19" Type="http://schemas.openxmlformats.org/officeDocument/2006/relationships/hyperlink" Target="https://www.consultant.ru/document/cons_doc_LAW_465890/233696febc5973f48df52633e6c578ed0d832228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/document/cons_doc_LAW_465890/233696febc5973f48df52633e6c578ed0d832228/" TargetMode="External"/><Relationship Id="rId9" Type="http://schemas.openxmlformats.org/officeDocument/2006/relationships/hyperlink" Target="https://www.consultant.ru/document/cons_doc_LAW_465890/233696febc5973f48df52633e6c578ed0d832228/" TargetMode="External"/><Relationship Id="rId14" Type="http://schemas.openxmlformats.org/officeDocument/2006/relationships/hyperlink" Target="https://www.consultant.ru/document/cons_doc_LAW_467020/" TargetMode="External"/><Relationship Id="rId22" Type="http://schemas.openxmlformats.org/officeDocument/2006/relationships/hyperlink" Target="https://www.consultant.ru/document/cons_doc_LAW_465890/233696febc5973f48df52633e6c578ed0d832228/" TargetMode="External"/><Relationship Id="rId27" Type="http://schemas.openxmlformats.org/officeDocument/2006/relationships/hyperlink" Target="https://www.consultant.ru/document/cons_doc_LAW_466032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cp:lastPrinted>2024-06-03T12:35:00Z</cp:lastPrinted>
  <dcterms:created xsi:type="dcterms:W3CDTF">2024-06-03T12:33:00Z</dcterms:created>
  <dcterms:modified xsi:type="dcterms:W3CDTF">2024-06-03T12:39:00Z</dcterms:modified>
</cp:coreProperties>
</file>